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rFonts w:ascii="Tahoma" w:hAnsi="Tahoma"/>
          <w:b w:val="1"/>
          <w:i w:val="0"/>
          <w:caps w:val="0"/>
          <w:color w:val="000000"/>
          <w:spacing w:val="0"/>
          <w:sz w:val="21"/>
          <w:shd w:fill="EEEEEE" w:val="clear"/>
        </w:rPr>
        <w:t>Обобщенная информация о предоставлении депутатами Представительного Собрания Горшеченского района Курской области соответствующих сведений и исполнении ими законодательства о противодействии коррупции.</w:t>
      </w: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pStyle w:val="Style_1"/>
      </w:pPr>
      <w:r>
        <w:rPr>
          <w:rFonts w:ascii="Tahoma" w:hAnsi="Tahoma"/>
          <w:b w:val="0"/>
          <w:i w:val="0"/>
          <w:caps w:val="0"/>
          <w:color w:val="000000"/>
          <w:spacing w:val="0"/>
          <w:sz w:val="18"/>
          <w:shd w:fill="EEEEEE" w:val="clear"/>
        </w:rPr>
        <w:t>Представительное Собрание Горшеченского района Курской области  сообщает, что всеми депутатами Представительного Собрания Горшеченского района Курской области исполнена обязанность представить сведения о доходах, расходах, об имуществе и обязательствах имущественного характера 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период 2022 года в установленные законодательством сроки представил 1 депутат  Представительного Собрания Горшеченского района Курской области.16 депутатов Представительного Собрания Горшеченского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Федерального закона от 3 декабря 2012 года /№ 230-ФЗ «О контроле за соответствием расходов лиц, замещающих государственные должности , и иных лиц их доходам».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2024-04-03T08:33:30Z</dcterms:modified>
</cp:coreProperties>
</file>