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</w:r>
      <w:r/>
    </w:p>
    <w:p>
      <w:pPr>
        <w:jc w:val="right"/>
        <w:rPr>
          <w:b/>
        </w:rPr>
      </w:pPr>
      <w:r>
        <w:rPr>
          <w:b/>
        </w:rPr>
      </w:r>
      <w:r/>
    </w:p>
    <w:p>
      <w:pPr>
        <w:jc w:val="right"/>
        <w:rPr>
          <w:b/>
        </w:rPr>
      </w:pPr>
      <w:r/>
      <w:bookmarkStart w:id="0" w:name="Par1"/>
      <w:r/>
      <w:bookmarkStart w:id="1" w:name="Par28"/>
      <w:r/>
      <w:bookmarkEnd w:id="0"/>
      <w:r/>
      <w:bookmarkEnd w:id="1"/>
      <w:r>
        <w:rPr>
          <w:b/>
        </w:rPr>
        <w:t xml:space="preserve">Утверждена</w:t>
      </w:r>
      <w:r/>
    </w:p>
    <w:p>
      <w:pPr>
        <w:jc w:val="right"/>
        <w:rPr>
          <w:b/>
        </w:rPr>
      </w:pPr>
      <w:r>
        <w:rPr>
          <w:b/>
        </w:rPr>
        <w:t xml:space="preserve">Постановлением Администрации </w:t>
      </w:r>
      <w:r/>
    </w:p>
    <w:p>
      <w:pPr>
        <w:jc w:val="right"/>
        <w:rPr>
          <w:b/>
        </w:rPr>
      </w:pPr>
      <w:r>
        <w:rPr>
          <w:b/>
        </w:rPr>
        <w:t xml:space="preserve">Горшеченского района </w:t>
      </w:r>
      <w:r/>
    </w:p>
    <w:p>
      <w:pPr>
        <w:jc w:val="right"/>
        <w:rPr>
          <w:b/>
        </w:rPr>
      </w:pPr>
      <w:r>
        <w:rPr>
          <w:b/>
        </w:rPr>
        <w:t xml:space="preserve">Курской области</w:t>
      </w:r>
      <w:r/>
    </w:p>
    <w:p>
      <w:pPr>
        <w:jc w:val="right"/>
        <w:widowControl w:val="off"/>
      </w:pPr>
      <w:r>
        <w:rPr>
          <w:b/>
        </w:rPr>
        <w:t xml:space="preserve">от «29» декабря 2023 г. № _909__</w:t>
      </w:r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center"/>
        <w:widowControl w:val="off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МУНИЦИПАЛЬНАЯ ПРОГРАММА </w:t>
      </w:r>
      <w:r/>
    </w:p>
    <w:p>
      <w:pPr>
        <w:jc w:val="center"/>
        <w:widowControl w:val="off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«СОЦИАЛЬНАЯ ПОДДЕРЖКА ГРАЖДАН </w:t>
      </w:r>
      <w:r/>
    </w:p>
    <w:p>
      <w:pPr>
        <w:jc w:val="center"/>
        <w:widowControl w:val="off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ГОРШЕЧЕНСКОГО РАЙОНА КУРСКОЙ ОБЛАСТИ»</w:t>
      </w:r>
      <w:r/>
    </w:p>
    <w:p>
      <w:pPr>
        <w:jc w:val="center"/>
        <w:widowControl w:val="off"/>
      </w:pPr>
      <w:r/>
      <w:r/>
    </w:p>
    <w:p>
      <w:pPr>
        <w:jc w:val="center"/>
        <w:widowControl w:val="off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right"/>
        <w:widowControl w:val="off"/>
        <w:outlineLvl w:val="0"/>
      </w:pPr>
      <w:r/>
      <w:r/>
    </w:p>
    <w:p>
      <w:pPr>
        <w:jc w:val="center"/>
        <w:widowControl w:val="off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п. Горшечное</w:t>
      </w:r>
      <w:r/>
    </w:p>
    <w:p>
      <w:pPr>
        <w:jc w:val="center"/>
        <w:widowControl w:val="off"/>
        <w:outlineLvl w:val="0"/>
      </w:pPr>
      <w:r/>
      <w:r/>
    </w:p>
    <w:p>
      <w:pPr>
        <w:jc w:val="center"/>
        <w:widowControl w:val="off"/>
        <w:outlineLvl w:val="0"/>
      </w:pPr>
      <w:r/>
      <w:r/>
    </w:p>
    <w:p>
      <w:pPr>
        <w:jc w:val="center"/>
        <w:widowControl w:val="off"/>
        <w:outlineLvl w:val="0"/>
      </w:pPr>
      <w:r/>
      <w:r/>
    </w:p>
    <w:p>
      <w:pPr>
        <w:jc w:val="center"/>
        <w:widowControl w:val="off"/>
        <w:outlineLvl w:val="0"/>
      </w:pPr>
      <w:r/>
      <w:r/>
    </w:p>
    <w:tbl>
      <w:tblPr>
        <w:tblW w:w="10008" w:type="dxa"/>
        <w:tblLook w:val="01E0" w:firstRow="1" w:lastRow="1" w:firstColumn="1" w:lastColumn="1" w:noHBand="0" w:noVBand="0"/>
      </w:tblPr>
      <w:tblGrid>
        <w:gridCol w:w="566"/>
        <w:gridCol w:w="2242"/>
        <w:gridCol w:w="7200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jc w:val="right"/>
              <w:widowControl w:val="off"/>
              <w:rPr>
                <w:b/>
              </w:rPr>
              <w:outlineLvl w:val="0"/>
            </w:pPr>
            <w:r>
              <w:rPr>
                <w:b/>
              </w:rPr>
              <w:t xml:space="preserve">ПРИЛОЖЕНИЕ № 1</w:t>
            </w:r>
            <w:r/>
          </w:p>
          <w:p>
            <w:pPr>
              <w:jc w:val="right"/>
              <w:keepLines/>
              <w:keepNext/>
              <w:rPr>
                <w:b/>
              </w:rPr>
            </w:pPr>
            <w:r>
              <w:rPr>
                <w:b/>
              </w:rPr>
              <w:t xml:space="preserve">к муниципальной программе</w:t>
            </w:r>
            <w:r/>
          </w:p>
          <w:p>
            <w:pPr>
              <w:jc w:val="right"/>
              <w:keepLines/>
              <w:keepNext/>
              <w:rPr>
                <w:b/>
              </w:rPr>
            </w:pPr>
            <w:r>
              <w:rPr>
                <w:b/>
              </w:rPr>
              <w:t xml:space="preserve">«Социальная поддержка граждан </w:t>
            </w:r>
            <w:r/>
          </w:p>
          <w:p>
            <w:pPr>
              <w:jc w:val="right"/>
              <w:keepLines/>
              <w:keepNext/>
              <w:rPr>
                <w:b/>
              </w:rPr>
            </w:pPr>
            <w:r>
              <w:rPr>
                <w:b/>
              </w:rPr>
              <w:t xml:space="preserve">Горшеченского района Курской области» </w:t>
            </w:r>
            <w:r/>
          </w:p>
          <w:p>
            <w:pPr>
              <w:jc w:val="both"/>
              <w:keepLines/>
              <w:keepNext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jc w:val="both"/>
              <w:keepLines/>
              <w:keepNext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9442" w:type="dxa"/>
            <w:textDirection w:val="lrTb"/>
            <w:noWrap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  <w:t xml:space="preserve">ПАСПОРТ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муниципальной программы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«Социальная поддержка граждан Горшеченского района 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Курской области» 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(далее - Программа)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062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программы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 социальной защиты</w:t>
            </w:r>
            <w:r>
              <w:rPr>
                <w:sz w:val="28"/>
                <w:szCs w:val="28"/>
              </w:rPr>
              <w:t xml:space="preserve">, опеки и попечительства</w:t>
            </w:r>
            <w:r>
              <w:rPr>
                <w:sz w:val="28"/>
                <w:szCs w:val="28"/>
              </w:rPr>
              <w:t xml:space="preserve"> Администрации Горшеченского района Курской области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</w:t>
            </w:r>
            <w:r>
              <w:rPr>
                <w:sz w:val="28"/>
                <w:szCs w:val="28"/>
              </w:rPr>
              <w:t xml:space="preserve"> социальной защиты,</w:t>
            </w:r>
            <w:r>
              <w:rPr>
                <w:sz w:val="28"/>
                <w:szCs w:val="28"/>
              </w:rPr>
              <w:t xml:space="preserve"> опеки и попечительства Администрации Горшеченского района Курской области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 социальной защиты</w:t>
            </w:r>
            <w:r>
              <w:rPr>
                <w:sz w:val="28"/>
                <w:szCs w:val="28"/>
              </w:rPr>
              <w:t xml:space="preserve">, опеки и попечительства</w:t>
            </w:r>
            <w:r>
              <w:rPr>
                <w:sz w:val="28"/>
                <w:szCs w:val="28"/>
              </w:rPr>
              <w:t xml:space="preserve"> Администрации Горшеченского района Курской области;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Администрации Горшеченского района Курской области;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вопросам культуры, молодежи, физической культуры и спорта Администрации Горшеченского района Курской области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ЗАГС Администрации Горшеченского района Курской области;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строительства, архитектуры, ЖКХ, земельных и имущественных правоотношений, охраны окружающей среды, транспорта и связи Администрации Горшеченского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pStyle w:val="826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подпрограмма 1: «Управление муниципальной программой и обеспечение условий реализации»;</w:t>
            </w:r>
            <w:r/>
          </w:p>
          <w:p>
            <w:pPr>
              <w:pStyle w:val="826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2: «Развитие мер социальной поддержки отдельных категорий граждан»;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3: «Улучшение демографической ситуации, совершенствование социальной поддержки семьи и детей»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рост благосостояния,  повышение уровня и качества жизни граждан-получателей  мер социальной поддержки, населения, нуждающегося в социальной  поддержке;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улучшение демографической ситуации</w:t>
            </w:r>
            <w:r/>
          </w:p>
          <w:p>
            <w:pPr>
              <w:jc w:val="both"/>
              <w:keepLines/>
              <w:keepNext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pStyle w:val="827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для достижения  поставленных  целей  необходимо решение следующих задач: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государственных полномочий Горшеченскому району Курской области в сфере социальной защиты населения;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переданных государственных полномочий Горшеченскому району Курской области по организации и осуществлению деятельности по опеке и </w:t>
            </w:r>
            <w:r>
              <w:rPr>
                <w:sz w:val="28"/>
                <w:szCs w:val="28"/>
              </w:rPr>
              <w:t xml:space="preserve">попечительству;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доступности социальной поддержки для нуждающихся в ней граждан;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 и  укрепление  института семьи;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благоприятных условий для жизнедеятельности семьи, рождения детей;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семейного и детского неблагополучия;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сохранения стабильности в обществе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и показатели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населения, имеющего денежные доходы ниже величины прожиточного минимума, в общей численности населения Горшеченского района Курской области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pStyle w:val="827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- 2024 - 2026 годы в один этап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общий объем финансового обеспечения реализации Программы  составляет 104 570 000  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32 895 071рублей;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32 895 071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38 779 858рублей;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–91 860 401 рубль,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28 658 538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28 658 538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34 543 325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муниципального района –          12 709 599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4 236 533 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4 236 533 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4 236 533 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по подпрограммам: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 «Управление муниципальной программой и обеспечение условий реализации» –           11 003 349 рублей, в том числе: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– 5 221 500 рублей;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муниципального района–5 781 849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2: «Развитие мер социальной поддержки отдельных категорий граждан» – 26 457 237 рублей, в том числе: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 счет средств областного бюджета – 21 440 487 рублей; 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муниципального района –           </w:t>
            </w:r>
            <w:r>
              <w:rPr>
                <w:sz w:val="28"/>
                <w:szCs w:val="28"/>
              </w:rPr>
              <w:t xml:space="preserve">5 016 750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  <w:highlight w:val="white"/>
              </w:rPr>
              <w:t xml:space="preserve">одпрограмма 3: «Улучшение демографической ситуации, совершенствование социальной поддержки семьи и детей» – 67 109 414 рублей, в том числе: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за счет средств областного бюджета – 65 198 414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за счет средств бюджета муниципального района –           1 911 000 рублей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242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7200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снижение бедности среди получателей мер социальной поддержки;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 поддержки  и  содействие  социальной адаптации граждан, попавших в  трудную  жизненную ситуацию  или  находящихся  в  социально  опасном положении;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эффективности мероприятий по оказанию материальной помощи населению и улучшение качественных показателей уровня жизни граждан, оказавшихся в трудной жизненной ситуации и нуждающихся в социальной поддержке;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преобладание к 2024 году семейных форм устройства детей, оставшихся без попечения родителей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/>
      <w:bookmarkStart w:id="2" w:name="Par182"/>
      <w:r/>
      <w:bookmarkEnd w:id="2"/>
      <w:r/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I. Общая характеристика сферы социальной поддержки граждан </w:t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Горшеченском районе Курской области, в том числе формулировки </w:t>
      </w:r>
      <w:r/>
    </w:p>
    <w:p>
      <w:pPr>
        <w:pStyle w:val="8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основных проблем в указанной сфере и прогноз ее развития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</w:t>
      </w:r>
      <w:r>
        <w:rPr>
          <w:sz w:val="28"/>
          <w:szCs w:val="28"/>
        </w:rPr>
        <w:t xml:space="preserve">селения. Категории граждан -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Курской области, нормативными правовыми актами органов местного самоуправления.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настоящему времени в Курской области сформирована система социальной поддержки граждан, структурными элементами которой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граждане и семьи - получатели мер социальной поддержки: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органы государственной власти и органы местного самоуправления, наделенные полномочиями и осуществляющие функции по выработке и реализации р</w:t>
      </w:r>
      <w:r>
        <w:rPr>
          <w:sz w:val="28"/>
          <w:szCs w:val="28"/>
        </w:rPr>
        <w:t xml:space="preserve">егиональной политики и нормативно-правовому регулированию в соответствующих секторах сферы социальной поддержки граждан (органы социальной защиты населения, органы здравоохранения, образования, культуры, опеки и попечительства, физкультуры и спорта и др.).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Действующая система социальной поддержки граждан в Горшеченском районе Курской области, как и в целом по Российской Федерации базируется на ряде принципиальных положений, в том числе: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добровольность предоставления мер социальной поддержки;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безусловная гарантированность исполнения принятых обязательств по предоста</w:t>
      </w:r>
      <w:r>
        <w:rPr>
          <w:sz w:val="28"/>
          <w:szCs w:val="28"/>
        </w:rPr>
        <w:t xml:space="preserve">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в Российской Федера</w:t>
      </w:r>
      <w:r>
        <w:rPr>
          <w:sz w:val="28"/>
          <w:szCs w:val="28"/>
        </w:rPr>
        <w:t xml:space="preserve">ции и Курской области принят ряд решений по совершенствованию системы социальной поддержки граждан. Развивается законодательная база социальной поддержки, совершенствуется ее организация, укрепляется материально-техническая, информационная и кадровая база.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Реализуются федеральные и региональные меры поддержки семей с детьми. Наиболее важными из них являются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выплата пособий семьям с детьми в размерах, индексируемых с учетом динамики инфляции, установление дополнительных рег</w:t>
      </w:r>
      <w:r>
        <w:rPr>
          <w:sz w:val="28"/>
          <w:szCs w:val="28"/>
        </w:rPr>
        <w:t xml:space="preserve">иональных мер поддержки семей с детьми: ежемесячного пособия при рождении второго ребенка и ежемесячной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</w:t>
      </w:r>
      <w:r>
        <w:rPr>
          <w:sz w:val="28"/>
          <w:szCs w:val="28"/>
        </w:rPr>
        <w:t xml:space="preserve">ии)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Значительным является количество категорий и число граждан, которым </w:t>
      </w:r>
      <w:r>
        <w:rPr>
          <w:sz w:val="28"/>
          <w:szCs w:val="28"/>
        </w:rPr>
        <w:t xml:space="preserve">меры социальной поддержки предоставляются в денежной форме. Среди них: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инвалиды войны;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ветераны Великой Отечественной войны;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инвалиды (включая детей-инвалидов);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Герои Советского Союза, Герои Российской Федерации, полные кавалеры ордена Славы и члены их семей, Герои Социалистического Труда и полные кавалеры ордена Трудовой Славы.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енежные выплаты за счет средств бюджета Курской области в Горшеченском районе получают: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труженики тыла, ветераны труда, реабилитированные лица и лица, признанные пострадавшими от политических репрессий;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лица, удостоенные региональных почетных званий, имеющие особые заслуги;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инвалиды - участники вооруженных конфликтов в мирное время;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члены семей погибших;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дети из отдельных категорий семей (многодетные, неполные, студенческие);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дети-сироты, дети, оставшиеся без попечения родителей, дети, находящиеся под опекой (попечительством);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семьи с детьми</w:t>
      </w:r>
      <w:r>
        <w:rPr>
          <w:sz w:val="28"/>
          <w:szCs w:val="28"/>
        </w:rPr>
        <w:t xml:space="preserve">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бюджета муниципального района в Горшеченском районе производится доплата пенсионерам из числа бывших муниципальных служащих, проводятся мероприятия по социальной поддержке отдельных категорий граждан,</w:t>
      </w:r>
      <w:r/>
    </w:p>
    <w:p>
      <w:pPr>
        <w:ind w:firstLine="540"/>
        <w:jc w:val="both"/>
        <w:widowControl w:val="off"/>
      </w:pPr>
      <w:r>
        <w:rPr>
          <w:sz w:val="28"/>
          <w:szCs w:val="28"/>
        </w:rPr>
        <w:t xml:space="preserve">участники специальной военной операции и члены их семей</w:t>
      </w:r>
      <w:r>
        <w:rPr>
          <w:sz w:val="28"/>
          <w:szCs w:val="28"/>
        </w:rPr>
        <w:t xml:space="preserve"> и прочие категории.</w:t>
      </w: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Несмотря на принятые ре</w:t>
      </w:r>
      <w:r>
        <w:rPr>
          <w:sz w:val="28"/>
          <w:szCs w:val="28"/>
        </w:rPr>
        <w:t xml:space="preserve">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сокращения </w:t>
      </w:r>
      <w:r>
        <w:rPr>
          <w:sz w:val="28"/>
          <w:szCs w:val="28"/>
        </w:rPr>
        <w:t xml:space="preserve">материального неблагополучия, бедности, социального и имущественного неравенства. Доля населения, имеющего денежные доходы ниже величины прожиточного минимума, в общей численности населения Горшеченского района Курской области составила в 2023 году 12,6 %;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сокращения физического неблагополучия, в том числе инвалидности, алкоголизма, состояния психического здоровья, социально опасных заболеваний граждан;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сокращения социального неблагополучия, преодоления негативных явлений в области семейно-детских отношений, в том числе жестокого </w:t>
      </w:r>
      <w:r>
        <w:rPr>
          <w:sz w:val="28"/>
          <w:szCs w:val="28"/>
        </w:rPr>
        <w:t xml:space="preserve">обращения, насилия в отн</w:t>
      </w:r>
      <w:r>
        <w:rPr>
          <w:sz w:val="28"/>
          <w:szCs w:val="28"/>
        </w:rPr>
        <w:t xml:space="preserve">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детей, и др.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сложившихся условиях прогнозируется, что развитие системы социальной поддержки населения на период до 2024 года будет осуществляться в следующих основных направлениях: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расширение сферы применения механизма </w:t>
      </w:r>
      <w:r>
        <w:rPr>
          <w:sz w:val="28"/>
          <w:szCs w:val="28"/>
        </w:rPr>
        <w:t xml:space="preserve">адресности, основанного на оценке доходов, при предоставлении мер социальной поддержки отдельных категорий граждан, как в денежной форме, так и в форме услуг, в том числе услуг социального обслуживания населения, а также социальной поддержки семьи и детей;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сокращение сферы предоставления мер социальной поддержки отдельных категорий граждан в натуральной форме, при одновременном расширении мер их социальной поддержки, предоставляемых в денежной форме;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развитие системы профилактики мате</w:t>
      </w:r>
      <w:r>
        <w:rPr>
          <w:sz w:val="28"/>
          <w:szCs w:val="28"/>
        </w:rPr>
        <w:t xml:space="preserve">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снижающего риски возникновения трудной жизненной ситуации и расходы на преодоление ее последствий.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/>
      <w:bookmarkStart w:id="3" w:name="Par246"/>
      <w:r/>
      <w:bookmarkEnd w:id="3"/>
      <w:r>
        <w:rPr>
          <w:b/>
          <w:sz w:val="28"/>
          <w:szCs w:val="28"/>
        </w:rPr>
        <w:t xml:space="preserve">II. Приоритеты, цели и задачи муниципальной политики, в том числе общие требования в сфере социальной поддержки граждан 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в Горшеченском районе Курской области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Приоритеты муниципальной политики в сфере социальной поддержки граждан в Горшеченском районе Курской области определены исходя из </w:t>
      </w:r>
      <w:hyperlink r:id="rId11" w:tooltip="consultantplus://offline/ref=2D2E575CF12CFFD3A29C09AE77209D35CB7AD91B94E990D084167495AA392B40D4EBE8761527A731D1K" w:history="1">
        <w:r>
          <w:rPr>
            <w:sz w:val="28"/>
            <w:szCs w:val="28"/>
          </w:rPr>
          <w:t xml:space="preserve">Концепции</w:t>
        </w:r>
      </w:hyperlink>
      <w:r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Стратегии национальной безопасности Российской Федерации, утвержденной Указом Президента Российской Федерации от 31 декабря 2015 года № 683</w:t>
      </w:r>
      <w:r>
        <w:rPr>
          <w:color w:val="FF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Концепции демографической политики Российской Федерации на период до 2025 года, утвержденной Указом Президента Российской Федерации от 9 октября 2007 года № 1351, </w:t>
      </w:r>
      <w:hyperlink r:id="rId12" w:tooltip="consultantplus://offline/ref=2D2E575CF12CFFD3A29C09AE77209D35C378D61891E6CDDA8C4F7897AD33D6K" w:history="1">
        <w:r>
          <w:rPr>
            <w:sz w:val="28"/>
            <w:szCs w:val="28"/>
          </w:rPr>
          <w:t xml:space="preserve">Указа</w:t>
        </w:r>
      </w:hyperlink>
      <w:r>
        <w:rPr>
          <w:sz w:val="28"/>
          <w:szCs w:val="28"/>
        </w:rPr>
        <w:t xml:space="preserve"> Президента Российской Федерации от 7 мая 2012 года № 597 "О мероприятиях по реализации государственной социальной политики", </w:t>
      </w:r>
      <w:hyperlink r:id="rId13" w:tooltip="consultantplus://offline/ref=2D2E575CF12CFFD3A29C17A073209D35C378D61891E3CDDA8C4F7897AD33D6K" w:history="1">
        <w:r>
          <w:rPr>
            <w:sz w:val="28"/>
            <w:szCs w:val="28"/>
          </w:rPr>
          <w:t xml:space="preserve">Указа</w:t>
        </w:r>
      </w:hyperlink>
      <w:r>
        <w:rPr>
          <w:sz w:val="28"/>
          <w:szCs w:val="28"/>
        </w:rPr>
        <w:t xml:space="preserve"> Президента Российской Федерации от 7 мая 2012 года № 606 "О мерах по реализации демографической</w:t>
      </w:r>
      <w:r>
        <w:rPr>
          <w:sz w:val="28"/>
          <w:szCs w:val="28"/>
        </w:rPr>
        <w:t xml:space="preserve"> политики Российской Федерации", Указа Президента Российской Федерации от 7 мая 2012 года № 606 «О мерах по реализации демографической политики Российской Федерации», Указа Президента Российской Федерации от 28 декабря 2012 года № 1688 «О некоторых мерах п</w:t>
      </w:r>
      <w:r>
        <w:rPr>
          <w:sz w:val="28"/>
          <w:szCs w:val="28"/>
        </w:rPr>
        <w:t xml:space="preserve">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«Социальная поддержка граждан», утвержденной постановлением Правительства Российской Федерации от </w:t>
      </w:r>
      <w:r>
        <w:rPr>
          <w:bCs/>
          <w:sz w:val="28"/>
          <w:szCs w:val="28"/>
        </w:rPr>
        <w:t xml:space="preserve">15 апреля 2014 года № 296, </w:t>
      </w:r>
      <w:r>
        <w:rPr>
          <w:sz w:val="28"/>
          <w:szCs w:val="28"/>
        </w:rPr>
        <w:t xml:space="preserve">решений Губернатора Курской области и Администрации Курской области.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Целями Программы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рост благосостояния,  повышение уровня и качества жизни граждан -  получателей  мер социальной поддержки, населения, нуждающегося в социальной  поддержке;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улучшение демографической ситуации.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Программы предстоит обеспечить решение следующих задач: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выполнение переданных государственных полномочий в сфере социальной защиты населения, а также по организации и осуществлению деятельности по опеке и попечительству;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социальной поддержки для нуждающихся в ней граждан;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развитие  и  укрепление  института семьи;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создание благоприятных условий для жизнедеятельности семьи, рождения детей;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профилактика семейного и детского неблагополучия;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создание благоприятных условий для сохранения стабильности в обществе.</w:t>
      </w:r>
      <w:r/>
    </w:p>
    <w:p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мероприятий Программы </w:t>
      </w:r>
      <w:r>
        <w:rPr>
          <w:sz w:val="28"/>
          <w:szCs w:val="28"/>
        </w:rPr>
        <w:t xml:space="preserve">будет способствовать достижению следующих ожидаемых результатов реализации Программы:</w:t>
      </w:r>
      <w:r/>
    </w:p>
    <w:p>
      <w:pPr>
        <w:ind w:firstLine="708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снижение бедности среди получателей мер социальной поддержки на основе расширения сферы применения адресного принципа ее предоставления;</w:t>
      </w:r>
      <w:r/>
    </w:p>
    <w:p>
      <w:pPr>
        <w:ind w:firstLine="708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  <w:r/>
    </w:p>
    <w:p>
      <w:pPr>
        <w:ind w:firstLine="708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рост суммарного коэффициента рождаемости;</w:t>
      </w:r>
      <w:r/>
    </w:p>
    <w:p>
      <w:pPr>
        <w:ind w:firstLine="708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преобладание к 2026 году семейных форм устройства детей, оставшихся без попечения родителей.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 – 2024–2026 годы, в один этап.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ходе исполнения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социально-экономического развития Горшеченского района.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III</w:t>
      </w:r>
      <w:r>
        <w:rPr>
          <w:b/>
          <w:sz w:val="28"/>
          <w:szCs w:val="28"/>
        </w:rPr>
        <w:t xml:space="preserve">. Целевые индикаторы и показатели достижения целей и решения задач,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описание основных ожидаемых конечных результатов по годам реализации муниципальной программы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Целевыми индикаторами и показателями Программы посредством которых оцениваются достижения целей муниципальной программы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доля населения, имеющего денежные доходы ниже величины прожиточного минимума, в общей численности населения Горшеченского района Курской области (в процентах);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количество граждан различных категорий, оказавшихся в трудной жизненной ситуации, нуждающихся в адресной материальной поддержке (человек).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Данные показатели позволяют количественно оценить конечные </w:t>
      </w:r>
      <w:r>
        <w:rPr>
          <w:sz w:val="28"/>
          <w:szCs w:val="28"/>
        </w:rPr>
        <w:t xml:space="preserve">общественно значимые результаты реализации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граждан.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Введение данных показателей в качестве целевых предполагает</w:t>
      </w:r>
      <w:r>
        <w:rPr>
          <w:sz w:val="28"/>
          <w:szCs w:val="28"/>
        </w:rPr>
        <w:t xml:space="preserve">, что мероприятия как Программы в целом,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регионе на основе социальной и материальной поддержки граждан.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Прогнозируемые снижения данных показателей будет обеспечиваться за счет реализации в рамках Программы мероприятий, обеспечивающих последовательное расширение, в том числе в рамка</w:t>
      </w:r>
      <w:r>
        <w:rPr>
          <w:sz w:val="28"/>
          <w:szCs w:val="28"/>
        </w:rPr>
        <w:t xml:space="preserve">х совершенствования федерального и регионального законодательства, адресного подхода, основанного на оценке нуждаемости, как при предоставлении мер социальной поддержки отдельным категориям граждан, так и при организации социальной поддержки семьи и детей.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целом, цели и задачи Программы направлены на прео</w:t>
      </w:r>
      <w:r>
        <w:rPr>
          <w:rFonts w:ascii="Times New Roman" w:hAnsi="Times New Roman"/>
          <w:sz w:val="28"/>
          <w:szCs w:val="28"/>
        </w:rPr>
        <w:t xml:space="preserve">доление существующих негативных тенденций в обществе и создание таких условий, при которых основной спектр муниципальных и государственных услуг в сфере социальной поддержки граждан Горшеченского района был бы доступен различным социальным группам граждан.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нацелена на достижение социально значимых результатов и эффективности использования средств областного бюджета и бюджета муниципального района.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Постановка целей и задач Программы учитывает современные реалии и обращена к слабо защищенным слоям населения, семьям, находящимся в трудной жизненной ситуации, обеспечивает им необходимый набор социальных услуг.</w:t>
      </w:r>
      <w:r/>
    </w:p>
    <w:p>
      <w:pPr>
        <w:pStyle w:val="826"/>
        <w:ind w:firstLine="68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результатом реализации Программы будет достижение поставленных целей, соответствие достигнутых результатов целевым индикаторам и показателям Программы. </w:t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/>
      <w:hyperlink w:tooltip="#Par2015" w:anchor="Par2015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 показателях (индикатор</w:t>
      </w:r>
      <w:r>
        <w:rPr>
          <w:sz w:val="28"/>
          <w:szCs w:val="28"/>
        </w:rPr>
        <w:t xml:space="preserve">ах) Программы и их значениях (основных ожидаемых конечных результатов) по годам реализации муниципальной программы указываются в приложении № 1 к муниципальной программе «Социальная поддержка граждан Горшеченского района Курской области» на 2024-2026 годы.</w:t>
      </w:r>
      <w:bookmarkStart w:id="4" w:name="Par287"/>
      <w:r/>
      <w:bookmarkStart w:id="5" w:name="Par335"/>
      <w:r/>
      <w:bookmarkStart w:id="6" w:name="Par342"/>
      <w:r/>
      <w:bookmarkStart w:id="7" w:name="Par371"/>
      <w:r/>
      <w:bookmarkEnd w:id="4"/>
      <w:r/>
      <w:bookmarkEnd w:id="5"/>
      <w:r/>
      <w:bookmarkEnd w:id="6"/>
      <w:r/>
      <w:bookmarkEnd w:id="7"/>
      <w:r/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IV</w:t>
      </w:r>
      <w:r>
        <w:rPr>
          <w:b/>
          <w:sz w:val="28"/>
          <w:szCs w:val="28"/>
        </w:rPr>
        <w:t xml:space="preserve">. Перечень и характеристики основных мероприятий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и подпрограмм Программы.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Сроки, этапы реализации и ожидаемые конечные результаты Программы</w:t>
      </w:r>
      <w:r/>
    </w:p>
    <w:p>
      <w:pPr>
        <w:ind w:firstLine="54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с целью повышения их эффективности и результативности.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3 подпрограммы, реализация мероприятий которых в комплексе призвана обеспечить достижение цели Программы и решение </w:t>
      </w:r>
      <w:r>
        <w:rPr>
          <w:sz w:val="28"/>
          <w:szCs w:val="28"/>
        </w:rPr>
        <w:t xml:space="preserve">программных задач: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1831" w:anchor="Par1831" w:history="1">
        <w:r>
          <w:rPr>
            <w:sz w:val="28"/>
            <w:szCs w:val="28"/>
          </w:rPr>
          <w:t xml:space="preserve">Подпрограмма</w:t>
        </w:r>
      </w:hyperlink>
      <w:r>
        <w:rPr>
          <w:sz w:val="28"/>
          <w:szCs w:val="28"/>
        </w:rPr>
        <w:t xml:space="preserve"> 1 «Управление муниципальной программой и обеспечение условий реализации» на 2024-2026 годы;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482" w:anchor="Par482" w:history="1">
        <w:r>
          <w:rPr>
            <w:sz w:val="28"/>
            <w:szCs w:val="28"/>
          </w:rPr>
          <w:t xml:space="preserve">Подпрограмма</w:t>
        </w:r>
      </w:hyperlink>
      <w:r>
        <w:rPr>
          <w:sz w:val="28"/>
          <w:szCs w:val="28"/>
        </w:rPr>
        <w:t xml:space="preserve"> 2 "Развитие мер социальной поддержки отдельных категорий граждан" на 2024-2026 годы;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995" w:anchor="Par995" w:history="1">
        <w:r>
          <w:rPr>
            <w:sz w:val="28"/>
            <w:szCs w:val="28"/>
          </w:rPr>
          <w:t xml:space="preserve">Подпрограмма</w:t>
        </w:r>
      </w:hyperlink>
      <w:r>
        <w:rPr>
          <w:sz w:val="28"/>
          <w:szCs w:val="28"/>
        </w:rPr>
        <w:t xml:space="preserve"> 3 "Улучшение демографической ситуации, совершенствование социальной поддержки семьи и детей" на 2024-2026 годы.</w:t>
      </w:r>
      <w:r/>
    </w:p>
    <w:p>
      <w:pPr>
        <w:ind w:firstLine="714"/>
        <w:jc w:val="both"/>
        <w:spacing w:after="60"/>
        <w:shd w:val="clear" w:fill="FFFFFF" w:color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достичь, намеченные цели и решить соответствующие задачи.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Задача обеспечения эффективного функционирования системы социальной защиты населения, обеспечения реализации исполнения государственных полномочий, переданных Горшеченскому району, в сфере социальной защиты населения будет решаться в рамках </w:t>
      </w:r>
      <w:hyperlink w:tooltip="#Par1831" w:anchor="Par1831" w:history="1">
        <w:r>
          <w:rPr>
            <w:sz w:val="28"/>
            <w:szCs w:val="28"/>
          </w:rPr>
          <w:t xml:space="preserve">Подпрограммы</w:t>
        </w:r>
      </w:hyperlink>
      <w:r>
        <w:rPr>
          <w:sz w:val="28"/>
          <w:szCs w:val="28"/>
        </w:rPr>
        <w:t xml:space="preserve"> 1 «Управление муниципальной программой и обеспечение условий реализации» на 2024-2026 годы.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задач, связанных с выполнением переданных государственных полномочий в сфере социальной защиты населения, предусмотрено </w:t>
      </w:r>
      <w:hyperlink w:tooltip="#Par482" w:anchor="Par482" w:history="1">
        <w:r>
          <w:rPr>
            <w:sz w:val="28"/>
            <w:szCs w:val="28"/>
          </w:rPr>
          <w:t xml:space="preserve">Подпрограммой</w:t>
        </w:r>
      </w:hyperlink>
      <w:r>
        <w:rPr>
          <w:sz w:val="28"/>
          <w:szCs w:val="28"/>
        </w:rPr>
        <w:t xml:space="preserve">2 «Развитие мер социальной поддержки отдельных категорий граждан» на 2024-2026 годы.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Решение задач по создан</w:t>
      </w:r>
      <w:r>
        <w:rPr>
          <w:sz w:val="28"/>
          <w:szCs w:val="28"/>
        </w:rPr>
        <w:t xml:space="preserve">ию благоприятных условий для жизнедеятельности семьи, укреплению института семьи, стимулированию рождаемости, а также решение задач, связанных с выполнением переданных государственных полномочий в сфере опеки и попечительства будет осуществляться в рамках </w:t>
      </w:r>
      <w:hyperlink w:tooltip="#Par995" w:anchor="Par995" w:history="1">
        <w:r>
          <w:rPr>
            <w:sz w:val="28"/>
            <w:szCs w:val="28"/>
          </w:rPr>
          <w:t xml:space="preserve">Подпрограммы</w:t>
        </w:r>
      </w:hyperlink>
      <w:r>
        <w:rPr>
          <w:sz w:val="28"/>
          <w:szCs w:val="28"/>
        </w:rPr>
        <w:t xml:space="preserve">3 «Улучшение демографической ситуации, совершенствование социальной поддержки семьи и детей» на 2024-2026 годы.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1831" w:anchor="Par1831" w:history="1">
        <w:r>
          <w:rPr>
            <w:sz w:val="28"/>
            <w:szCs w:val="28"/>
          </w:rPr>
          <w:t xml:space="preserve">Подпрограмма</w:t>
        </w:r>
      </w:hyperlink>
      <w:r>
        <w:rPr>
          <w:sz w:val="28"/>
          <w:szCs w:val="28"/>
        </w:rPr>
        <w:t xml:space="preserve"> 1 «Управление муниципальной программой и обеспечение условий реализации» на 2024-2026 годы направлена на обеспечение реализации на территории Горшеченского района Курской области единой государственной политики в сфере социального обеспечения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hyperlink w:tooltip="#Par482" w:anchor="Par482" w:history="1">
        <w:r>
          <w:rPr>
            <w:sz w:val="28"/>
            <w:szCs w:val="28"/>
          </w:rPr>
          <w:t xml:space="preserve">подпрограммы</w:t>
        </w:r>
      </w:hyperlink>
      <w:r>
        <w:rPr>
          <w:sz w:val="28"/>
          <w:szCs w:val="28"/>
        </w:rPr>
        <w:t xml:space="preserve"> 2 «Развитие мер социальной поддержки отдельных категорий граждан» на 2024-2026 г</w:t>
      </w:r>
      <w:r>
        <w:rPr>
          <w:sz w:val="28"/>
          <w:szCs w:val="28"/>
        </w:rPr>
        <w:t xml:space="preserve">оды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а также на расширение масштабов адресной социальной поддержки, оказываемой населению.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995" w:anchor="Par995" w:history="1">
        <w:r>
          <w:rPr>
            <w:sz w:val="28"/>
            <w:szCs w:val="28"/>
          </w:rPr>
          <w:t xml:space="preserve">Подпрограмма</w:t>
        </w:r>
      </w:hyperlink>
      <w:r>
        <w:rPr>
          <w:sz w:val="28"/>
          <w:szCs w:val="28"/>
        </w:rPr>
        <w:t xml:space="preserve"> 3 «Ул</w:t>
      </w:r>
      <w:r>
        <w:rPr>
          <w:sz w:val="28"/>
          <w:szCs w:val="28"/>
        </w:rPr>
        <w:t xml:space="preserve">учшение демографической ситуации, совершенствование социальной поддержки семьи и детей»на 2024-2026 годы включает комплекс дифференцированных мер социальной поддержки семьи, материнства и детства, направленных, в первую очередь, на стимулирование рождаемос</w:t>
      </w:r>
      <w:r>
        <w:rPr>
          <w:sz w:val="28"/>
          <w:szCs w:val="28"/>
        </w:rPr>
        <w:t xml:space="preserve">ти, формирование в обществе семейных ценностей, повышение престижа материнства и отцовства, укрепление семьи, развитие семейного устройства детей-сирот и детей, оставшихся без попечения родителей, семейного патроната, призванных обеспечить решение проблем </w:t>
      </w:r>
      <w:r>
        <w:rPr>
          <w:sz w:val="28"/>
          <w:szCs w:val="28"/>
        </w:rPr>
        <w:t xml:space="preserve">беспризорности, социального сиротства, попадания семей в трудную жизненную ситуацию.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Подпрограммы 1 </w:t>
      </w:r>
      <w:r>
        <w:rPr>
          <w:sz w:val="28"/>
          <w:szCs w:val="28"/>
        </w:rPr>
        <w:t xml:space="preserve">«Управление муниципальной программой и обеспечение условий реализации» на 2024-2026 годы </w:t>
      </w:r>
      <w:r>
        <w:rPr>
          <w:bCs/>
          <w:sz w:val="28"/>
          <w:szCs w:val="28"/>
        </w:rPr>
        <w:t xml:space="preserve">будут реализованы основные мероприятия, направленные на: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связанной с осуществлением переданных полномочий в сфере социальной защиты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В рамках подпрограммы 2 </w:t>
      </w:r>
      <w:r>
        <w:rPr>
          <w:sz w:val="28"/>
          <w:szCs w:val="28"/>
        </w:rPr>
        <w:t xml:space="preserve">«Развитие мер социальной поддержки отдельных категорий граждан» на 2024-2026 годы будут реализованы следующие основные мероприятия: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направленные на </w:t>
      </w:r>
      <w:r>
        <w:rPr>
          <w:sz w:val="28"/>
          <w:szCs w:val="28"/>
        </w:rPr>
        <w:t xml:space="preserve">предоставление социальных выплат и мер социальной поддержки отдельным категориям граждан за счет средств областного бюджета</w:t>
      </w:r>
      <w:r>
        <w:rPr>
          <w:bCs/>
          <w:sz w:val="28"/>
          <w:szCs w:val="28"/>
        </w:rPr>
        <w:t xml:space="preserve">: 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социальная поддержка граждан,</w:t>
      </w:r>
      <w:r>
        <w:rPr>
          <w:bCs/>
          <w:sz w:val="28"/>
          <w:szCs w:val="28"/>
        </w:rPr>
        <w:t xml:space="preserve"> в том числе: </w:t>
      </w:r>
      <w:r>
        <w:rPr>
          <w:sz w:val="28"/>
          <w:szCs w:val="28"/>
        </w:rPr>
        <w:t xml:space="preserve">обеспечение мер социальной поддержки реабилитированных лиц и лиц, признанных пострадавшими от политических репрессий</w:t>
      </w:r>
      <w:r>
        <w:rPr>
          <w:bCs/>
          <w:sz w:val="28"/>
          <w:szCs w:val="28"/>
        </w:rPr>
        <w:t xml:space="preserve">; </w:t>
      </w:r>
      <w:r>
        <w:rPr>
          <w:sz w:val="28"/>
          <w:szCs w:val="28"/>
        </w:rPr>
        <w:t xml:space="preserve">предоставление социальной поддержки отдельным категориям граждан по обеспечению продовольственными товарами</w:t>
      </w:r>
      <w:r>
        <w:rPr>
          <w:bCs/>
          <w:sz w:val="28"/>
          <w:szCs w:val="28"/>
        </w:rPr>
        <w:t xml:space="preserve">; обеспечение мер социальной поддержки ветеранов труда; обеспечение мер социальной поддержки тружеников тыла;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направленные на организацию своевременного и в полном объеме обеспечения прав отдельных категорий граждан на меры социальной поддержки, а также на </w:t>
      </w:r>
      <w:r>
        <w:rPr>
          <w:sz w:val="28"/>
          <w:szCs w:val="28"/>
        </w:rPr>
        <w:t xml:space="preserve">расширение масштабов адресной социальной</w:t>
      </w:r>
      <w:r>
        <w:rPr>
          <w:bCs/>
          <w:sz w:val="28"/>
          <w:szCs w:val="28"/>
        </w:rPr>
        <w:t xml:space="preserve"> и материальной</w:t>
      </w:r>
      <w:r>
        <w:rPr>
          <w:sz w:val="28"/>
          <w:szCs w:val="28"/>
        </w:rPr>
        <w:t xml:space="preserve"> поддержки, оказываемой населению</w:t>
      </w:r>
      <w:r>
        <w:rPr>
          <w:bCs/>
          <w:sz w:val="28"/>
          <w:szCs w:val="28"/>
        </w:rPr>
        <w:t xml:space="preserve"> за счет средств бюджета муниципального района «Горшеченский район» Курской области, в том числе: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предоставление доплат к пенсии</w:t>
      </w:r>
      <w:r>
        <w:rPr>
          <w:bCs/>
          <w:sz w:val="28"/>
          <w:szCs w:val="28"/>
        </w:rPr>
        <w:t xml:space="preserve">;</w:t>
      </w:r>
      <w:r/>
    </w:p>
    <w:p>
      <w:pPr>
        <w:ind w:firstLine="540"/>
        <w:jc w:val="both"/>
        <w:widowControl w:val="off"/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обеспечение реализации отдельных мероприятий, направленных на улучшение положения и качества жизни граждан</w:t>
      </w:r>
      <w:r>
        <w:rPr>
          <w:bCs/>
          <w:sz w:val="28"/>
          <w:szCs w:val="28"/>
        </w:rPr>
        <w:t xml:space="preserve">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перечень основных мероприятий Подпрограммы </w:t>
      </w:r>
      <w:r>
        <w:rPr>
          <w:bCs/>
          <w:iCs/>
          <w:sz w:val="28"/>
          <w:szCs w:val="28"/>
        </w:rPr>
        <w:t xml:space="preserve">3 </w:t>
      </w:r>
      <w:r>
        <w:rPr>
          <w:sz w:val="28"/>
          <w:szCs w:val="28"/>
        </w:rPr>
        <w:t xml:space="preserve">«Улучшение демографической ситуации, совершенствование социальной поддержки семьи и детей» на 2024-2026 годы входят: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деятельности, связанной с осуществлением переданных полномочий по организации и осуществлению деятельности по опеке и попечительству; </w:t>
      </w:r>
      <w:r/>
    </w:p>
    <w:p>
      <w:pPr>
        <w:ind w:firstLine="540"/>
        <w:jc w:val="both"/>
        <w:widowControl w:val="off"/>
      </w:pPr>
      <w:r>
        <w:rPr>
          <w:sz w:val="28"/>
          <w:szCs w:val="28"/>
        </w:rPr>
        <w:t xml:space="preserve">-оказание мер социальной поддержки детям-сиротам и детям, оставшимся без попечения родителей, лицам из числа указанной категории детей, а также гражданам, желающим взять детей на воспитание в семью;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t xml:space="preserve">-</w:t>
      </w:r>
      <w:r>
        <w:rPr>
          <w:sz w:val="28"/>
          <w:szCs w:val="28"/>
        </w:rPr>
        <w:t xml:space="preserve">обеспечение реализации отдельных мероприятий, направленных на улучшение демографической ситуации, совершенствования социальной поддержки семьи и детей.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264" w:anchor="Par2264" w:history="1">
        <w:r>
          <w:rPr>
            <w:sz w:val="28"/>
            <w:szCs w:val="28"/>
          </w:rPr>
          <w:t xml:space="preserve">Перечень</w:t>
        </w:r>
      </w:hyperlink>
      <w:r>
        <w:rPr>
          <w:sz w:val="28"/>
          <w:szCs w:val="28"/>
        </w:rPr>
        <w:t xml:space="preserve"> основных мероприятий Программы приведен в приложении № 2 к Программе.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Программы будет способствовать достижению следующих ожидаемых результатов: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снижение   бедности   среди    получателей    мер социальной поддержки, </w:t>
      </w:r>
      <w:r>
        <w:rPr>
          <w:sz w:val="28"/>
          <w:szCs w:val="28"/>
        </w:rPr>
        <w:t xml:space="preserve">на основе  расширения  сферы применения адресного принципа ее предоставления;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 поддержки  и  содействие  социальной адаптации граждан, попавших в  трудную  жизненную ситуацию  или  находящихся  в  социально  опасном положении;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мероприятий по оказанию материальной помощи населению и улучшение качественных показателей уровня жизни граждан, оказавшихся в трудной жизненной ситуации и нуждающихся в социальной поддержке;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преобладание к 2026 году семейных форм устройства детей, оставшихся без попечения родителей.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 - 2024 - 2026 годы, в один этап.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осн</w:t>
      </w:r>
      <w:r>
        <w:rPr>
          <w:sz w:val="28"/>
          <w:szCs w:val="28"/>
        </w:rPr>
        <w:t xml:space="preserve">овная часть мероприятий Программы связана с последовательной реализацией "длящихся" социальных обязательств Российской Федерации и Курской области по предоставлению мер социальной поддержки гражданам, выделение этапов реализации Программы не предусмотрено.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Горшеченского района.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V. Основные меры правового регулирования, направленные на достижение цели и ожидаемых результатов муниципальной программы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цели Программы использование мер государственного регулирования не предполагается.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Основными 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</w:t>
      </w:r>
      <w:r>
        <w:rPr>
          <w:sz w:val="28"/>
          <w:szCs w:val="28"/>
        </w:rPr>
        <w:t xml:space="preserve"> «Социальная поддержка граждан», утвержденной постановлением Правительства Российской Федерации от 15 апреля 2014 года № 296, в том числе: внесение изменений в действующее региональное законодательство в связи с внесением изменений в статью 26.3 Федерально</w:t>
      </w:r>
      <w:r>
        <w:rPr>
          <w:sz w:val="28"/>
          <w:szCs w:val="28"/>
        </w:rPr>
        <w:t xml:space="preserve">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принятие закона Курской области «Об оказании государственной социальной помощи в Курской области».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996" w:anchor="Par2996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 мерах правового регулирования в сфере реализации Программы приведены в приложении № 3 к настоящей Программе.</w:t>
      </w:r>
      <w:r/>
    </w:p>
    <w:p>
      <w:pPr>
        <w:ind w:firstLine="54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/>
      <w:bookmarkStart w:id="8" w:name="Par391"/>
      <w:r/>
      <w:bookmarkEnd w:id="8"/>
      <w:r>
        <w:rPr>
          <w:b/>
          <w:sz w:val="28"/>
          <w:szCs w:val="28"/>
          <w:lang w:val="en-US"/>
        </w:rPr>
        <w:t xml:space="preserve">VI</w:t>
      </w:r>
      <w:r>
        <w:rPr>
          <w:b/>
          <w:sz w:val="28"/>
          <w:szCs w:val="28"/>
        </w:rPr>
        <w:t xml:space="preserve">. Финансовое обеспечение муниципальной программы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Объемы Ресурсного</w:t>
      </w:r>
      <w:r>
        <w:rPr>
          <w:sz w:val="28"/>
          <w:szCs w:val="28"/>
        </w:rPr>
        <w:t xml:space="preserve"> </w:t>
      </w:r>
      <w:hyperlink w:tooltip="#Par3328" w:anchor="Par3328" w:history="1">
        <w:r>
          <w:rPr>
            <w:sz w:val="28"/>
            <w:szCs w:val="28"/>
          </w:rPr>
          <w:t xml:space="preserve">обеспечени</w:t>
        </w:r>
      </w:hyperlink>
      <w:r>
        <w:rPr>
          <w:sz w:val="28"/>
          <w:szCs w:val="28"/>
        </w:rPr>
        <w:t xml:space="preserve">я муниципальной программы за счет средств областного и муниципального бюджетов представлены в приложении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к настоящей Программе.</w:t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9" w:name="Par419"/>
      <w:r/>
      <w:bookmarkEnd w:id="9"/>
      <w:r>
        <w:rPr>
          <w:b/>
          <w:sz w:val="28"/>
          <w:szCs w:val="28"/>
          <w:lang w:val="en-US"/>
        </w:rPr>
        <w:t xml:space="preserve">VII</w:t>
      </w:r>
      <w:r>
        <w:rPr>
          <w:b/>
          <w:sz w:val="28"/>
          <w:szCs w:val="28"/>
        </w:rPr>
        <w:t xml:space="preserve">. Анализ рисков реализации Программы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основе анализа мероприятий, предлагаемых для реализации в рамках Программы, выделены следующие риски ее реализации.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Финансовые риски, которые могут привести к снижению объемов финансирования программных мероприятий из средств областного и муниципального бюджета. Возникновение данных рисков может привести к недо</w:t>
      </w:r>
      <w:r>
        <w:rPr>
          <w:sz w:val="28"/>
          <w:szCs w:val="28"/>
        </w:rPr>
        <w:t xml:space="preserve">финансированию запланированных мероприятий всех подпрограмм, что приведет к расширению зоны бедности, осложнит оказание социальной поддержки гражданам, находящимся в трудной жизненной ситуации, и как, следствие, к росту социальной напряженности в обществе.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Минимизация данных рисков предусматривается мероприятиями Программы путем внедрения механизмов профилактики материального, социального и физического неблагополучия граждан и семей, снижающих риски трудной жизненной ситуации</w:t>
      </w:r>
      <w:r>
        <w:rPr>
          <w:sz w:val="28"/>
          <w:szCs w:val="28"/>
        </w:rPr>
        <w:t xml:space="preserve"> и расходы на ее преодоление; совершенствования предоставления мер социальной поддержки отдельных категорий граждан путем усиления адресности ее предоставления в денежной форме, привлечения к реализации мероприятий Программы благотворителей и добровольцев.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Операционные риски связаны с возможным несвоевременным внесением изменений в нормативную правовую базу и несвоевременным выполнением мероприятий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Данные риски будут минимизированы путем улучшения ор</w:t>
      </w:r>
      <w:r>
        <w:rPr>
          <w:sz w:val="28"/>
          <w:szCs w:val="28"/>
        </w:rPr>
        <w:t xml:space="preserve">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целью управления информационными рисками в ходе реализации Программы будет проводиться работа, направленная на: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статистических показателей, обеспечивающих объективность оценки хода и результатов реализации Программы;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1"/>
      </w:pPr>
      <w:r/>
      <w:bookmarkStart w:id="10" w:name="Par434"/>
      <w:r/>
      <w:bookmarkEnd w:id="10"/>
      <w:r>
        <w:rPr>
          <w:b/>
          <w:sz w:val="28"/>
          <w:szCs w:val="28"/>
          <w:lang w:val="en-US"/>
        </w:rPr>
        <w:t xml:space="preserve">VIII</w:t>
      </w:r>
      <w:r>
        <w:rPr>
          <w:b/>
          <w:sz w:val="28"/>
          <w:szCs w:val="28"/>
        </w:rPr>
        <w:t xml:space="preserve">. Методика оценки эффективности Программы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Программы проводится на основе: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оценки степени достижения целей и решения задач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</w:t>
      </w:r>
      <w:hyperlink w:tooltip="#Par2015" w:anchor="Par2015" w:history="1">
        <w:r>
          <w:rPr>
            <w:sz w:val="28"/>
            <w:szCs w:val="28"/>
          </w:rPr>
          <w:t xml:space="preserve">приложении № 1</w:t>
        </w:r>
      </w:hyperlink>
      <w:r>
        <w:rPr>
          <w:sz w:val="28"/>
          <w:szCs w:val="28"/>
        </w:rPr>
        <w:t xml:space="preserve"> к настоящей Программе, по формуле: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Сд = Зф / Зп x 100%, где: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Сд - степень достижения целей (решения задач),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Зф - фактическое значение показателя (индикатора) Программы/подпрограммы в отчетном году,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Зп - запланированное на отчетный год значение показателя (индикатора) Программы/подпрограммы - для показателей (индикаторов), тенденцией изменения которых является рост значений, или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Сд = Зп / Зф x 100% - для показателя (индикатора), тенденцией изменения, которых является снижение значений;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оценки уровня освоения средств областного и муниципального бюджета путем сопоставления плановых и фактических объемов финансирования основных мероприятий Программы, представленных в </w:t>
      </w:r>
      <w:hyperlink w:tooltip="#Par3328" w:anchor="Par3328" w:history="1">
        <w:r>
          <w:rPr>
            <w:sz w:val="28"/>
            <w:szCs w:val="28"/>
          </w:rPr>
          <w:t xml:space="preserve">приложении</w:t>
        </w:r>
      </w:hyperlink>
      <w:r>
        <w:rPr>
          <w:sz w:val="28"/>
          <w:szCs w:val="28"/>
        </w:rPr>
        <w:t xml:space="preserve">4 по формуле: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Уф = Фф / Фп x 100%, где: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Уф - уровень освоения средств Программы в отчетном году,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Фф - объем средств, фактически освоенных на реализацию Программы в отчетном году,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Фп - объем бюджетных назначений по Программе на отчетный год.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интервалы значений показателя (индикатора), при которых реализация Программы характеризуется: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высоким уровнем эффективности;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удовлетворительным уровнем эффективности;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неудовлетворительным уровнем эффективности.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Нижняя граница интервала значений показателя (индикатора) для целей отнесения Программы к высокому уровню эффективности не может быть ниже, чем значение, соответствующее степени достижения цели на соответствующий год, р</w:t>
      </w:r>
      <w:r>
        <w:rPr>
          <w:sz w:val="28"/>
          <w:szCs w:val="28"/>
        </w:rPr>
        <w:t xml:space="preserve">авной 95 процентам. Нижняя граница интервала значений показателя для целей отнесения Программы к удовлетворительному уровню эффективности не может быть ниже, чем значение, соответствующее степени достижения цели на соответствующий год, равной 75 процентам.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Программа считается реализуемой с высоким уровнем эффективности, если: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значения 95% и более показателей Программы и ее подпрограмм соответствуют установленным интервалам значений для целей отнесения Программы к высокому уровню эффективности;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 менее 95% мероприятий, запланированных на отчетный год, выполнены в полном объеме;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освоено не менее 98% средств, запланированных для реализации Программы в отчетном году.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Программы считается реализуемой с удовлетворительным уровнем эффективности, если: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 менее 80% мероприятий, запланированных на отчетный год, выполнены в полном объеме;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освоено от 95 до 98% средств, запланированных для реализации Программы в отчетном году.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Если реализация Программы не отвечает приведенным выше критериям, уровень эффективности ее реализации в отчетном году признается неудовлетворительным.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расчета показателей (индикаторов) Программы при оценке эффективности ее реализации используются: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данные бухгалтерской и финансовой отчетности исполнителей и соисполнителей Программы;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иные формы отчетности и статистические сборники, содержащие информацию, необходимую для расчета показателей эффективности Программы.</w:t>
      </w:r>
      <w:r/>
    </w:p>
    <w:tbl>
      <w:tblPr>
        <w:tblW w:w="10008" w:type="dxa"/>
        <w:tblLook w:val="01E0" w:firstRow="1" w:lastRow="1" w:firstColumn="1" w:lastColumn="1" w:noHBand="0" w:noVBand="0"/>
      </w:tblPr>
      <w:tblGrid>
        <w:gridCol w:w="468"/>
        <w:gridCol w:w="2641"/>
        <w:gridCol w:w="6899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9540" w:type="dxa"/>
            <w:textDirection w:val="lrTb"/>
            <w:noWrap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1 «Управление муниципальной программой </w:t>
            </w:r>
            <w:r/>
          </w:p>
          <w:p>
            <w:pPr>
              <w:jc w:val="center"/>
              <w:keepLines/>
              <w:keepNext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обеспечение условий реализации» на 2024-2026 годы </w:t>
            </w:r>
            <w:r/>
          </w:p>
          <w:p>
            <w:pPr>
              <w:jc w:val="center"/>
              <w:keepLines/>
              <w:keepNext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  <w:t xml:space="preserve">ПАСПОРТ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Подпрограммы 1 «Управление муниципальной программой </w:t>
            </w:r>
            <w:r/>
          </w:p>
          <w:p>
            <w:pPr>
              <w:jc w:val="center"/>
              <w:keepLines/>
              <w:keepNext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обеспечение условий реализации»на 2024-2026 годы   </w:t>
            </w:r>
            <w:r/>
          </w:p>
          <w:p>
            <w:pPr>
              <w:jc w:val="center"/>
              <w:keepLines/>
              <w:keepNext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jc w:val="center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1</w:t>
            </w:r>
            <w:r>
              <w:rPr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 социальной защиты</w:t>
            </w:r>
            <w:r>
              <w:rPr>
                <w:sz w:val="28"/>
                <w:szCs w:val="28"/>
              </w:rPr>
              <w:t xml:space="preserve">, опеки и попечительства</w:t>
            </w:r>
            <w:r>
              <w:rPr>
                <w:sz w:val="28"/>
                <w:szCs w:val="28"/>
              </w:rPr>
              <w:t xml:space="preserve"> Администрации Горшеченского района Курской области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отсутствуют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реализация   на   территории   Горшеченского района Курской области единой государственной политики  в  сфере социального обеспечения населения</w:t>
            </w:r>
            <w:r/>
          </w:p>
          <w:p>
            <w:pPr>
              <w:jc w:val="both"/>
              <w:keepLines/>
              <w:keepNext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качественное выполнение переданных государственных полномочий Горшеченскому району Курской области в сфере социальной защиты населения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и показатели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населения, имеющего денежные доходы ниже величины прожиточного минимума, в общей численности населения Курской области;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граждан различных категорий, оказавшихся в трудной жизненной ситуации, нуждающихся в адресной материальной поддержке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pStyle w:val="827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в один этап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объем бюджетных ассигнований подпрограммы за период с 2024  по 2026 г.г. составляет                            11 002 349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 3 667 783 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 3 667 783 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 3 667 783 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–                             5 221 500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 1 740 500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 1 740 500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 1 740 500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муниципального района –       5 781 849 рублей,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 1 927 283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 1 927 283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 1 927 283 рубля;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1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899" w:type="dxa"/>
            <w:textDirection w:val="lrTb"/>
            <w:noWrap/>
          </w:tcPr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 выполнения целей, задач и реализации Программы;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достижение целевых показателей Программы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11" w:name="Par1888"/>
      <w:r/>
      <w:bookmarkEnd w:id="11"/>
      <w:r/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I. Общая характеристика сферы реализации Подпрограммы 1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«Управление муниципальной программой и обеспечение условий реализации»на 2024-2026 годы, описание основных проблем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указанной сфере и прогноз ее развития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подпрограммы, а именно - реализация на территории Горшеченского района Курской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единой государственной политики в сфере социального обеспечения населения, может быть достигнута только в случае четкого исполнения своих функций отделом социальной защиты населения Администрации Горшеченского района Курской области, в том числе таких как: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обеспечение реализации социальных, экономических и правовых гарантий отдельных категорий граждан;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обеспечение на территории района соблюдения действующего законодательства в сфере социального обеспечения;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и осуществление контроля за сво</w:t>
      </w:r>
      <w:r>
        <w:rPr>
          <w:sz w:val="28"/>
          <w:szCs w:val="28"/>
        </w:rPr>
        <w:t xml:space="preserve">евременным назначением, перерасчетом, начислением и выплатой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оказание информационных и консультативных услуг гражданам по вопросам применения действующего законодательства в сфере социального обеспечения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Проблемы, связанные с исполнением названных и иных функций социального обеспечения, будут решаться в ходе выполнения мероприятий подпрограммы «Управление муниципальной Программой и обеспечение реализации»на 2024-2026 годы.</w:t>
      </w:r>
      <w:bookmarkStart w:id="12" w:name="Par1903"/>
      <w:r/>
      <w:bookmarkEnd w:id="12"/>
      <w:r/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Приоритеты, цели и задачи муниципальной политики,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в том числе общие требования в сфере реализации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1 «Управление муниципальной программой</w:t>
      </w:r>
      <w:r/>
    </w:p>
    <w:p>
      <w:pPr>
        <w:ind w:firstLine="540"/>
        <w:jc w:val="center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и обеспечение реализации» на 2024-2026 годы</w:t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  <w:r/>
    </w:p>
    <w:p>
      <w:pPr>
        <w:pStyle w:val="829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Подпрограммы 1 «Управление муниципальной программой и обеспечение реализации» на 2024-2026 годы - реализация   на   территории   Горшеченского района Курской области единой государственной политики  в  сфере социального обеспечения 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Задачей подпрограммы является - выполнение переданных государственных полномочий Горшеченскому району Курской области в сфере социальной защиты населения.</w:t>
      </w:r>
      <w:r/>
    </w:p>
    <w:p>
      <w:pPr>
        <w:pStyle w:val="829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13" w:name="Par1923"/>
      <w:r/>
      <w:bookmarkEnd w:id="13"/>
      <w:r>
        <w:rPr>
          <w:b/>
          <w:sz w:val="28"/>
          <w:szCs w:val="28"/>
        </w:rPr>
        <w:t xml:space="preserve">III. Перечень и характеристика основных мероприятий Подпрограммы 1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«Управление муниципальной программой и обеспечение реализации»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 на 2024-2026 годы.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Сроки, этапы реализации и ожидаемые 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конечные результаты подпрограммы.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цели и решения задач Подпрограммы 1 «Управление </w:t>
      </w:r>
      <w:r>
        <w:rPr>
          <w:sz w:val="28"/>
          <w:szCs w:val="28"/>
        </w:rPr>
        <w:t xml:space="preserve">муниципальной программой и обеспечение реализации» на 2024-2026 годы будут реализовываться следующие основные мероприятия: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- о</w:t>
      </w:r>
      <w:r>
        <w:rPr>
          <w:sz w:val="28"/>
          <w:szCs w:val="28"/>
        </w:rPr>
        <w:t xml:space="preserve">казание финансовой поддержки общественным организациям;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деятельности связанной с осуществлением переданных полномочий в сфере социальной защиты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исполнения мероприятий Подпрограммы 1 «Управление муниципальной программой и обеспечение реализации» - 2024-2026 годы, в один этап.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Исполнителем всех вышеперечисленных мероприятий выступает отдел социальной защиты населения Администрации Горшеченского района Курской области. Ожидаемыми непосредственными результатами реализации мероприятий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целевое использование субвенции на </w:t>
      </w:r>
      <w:r>
        <w:rPr>
          <w:bCs/>
          <w:sz w:val="28"/>
          <w:szCs w:val="28"/>
        </w:rPr>
        <w:t xml:space="preserve">о</w:t>
      </w:r>
      <w:r>
        <w:rPr>
          <w:sz w:val="28"/>
          <w:szCs w:val="28"/>
        </w:rPr>
        <w:t xml:space="preserve">казание финансовой поддержки общественным орга</w:t>
      </w:r>
      <w:r>
        <w:rPr>
          <w:sz w:val="28"/>
          <w:szCs w:val="28"/>
        </w:rPr>
        <w:t xml:space="preserve">низациям ветеранов войны, труда, Вооруженных сил и правоохранительных органов и субвенции на содержание работников, осуществляющих переданные государственные полномочия в сфере социальной защиты населения в соответствии с законодательством Курской области;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деятельности и исполнение функций в сфере социальной защиты населения в Горшеченском районе Курской области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функционирования и эффективности системы социальной защиты населения в целях реализации гражданами прав на гарантированные государством социальные услуги и иные меры социальной поддержки;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надлежащее исполнение отделом социальной защиты населения Администрации Горшеченского района Курской области переданных государственных полномочий в сфере социальной защиты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Последствиями нереализации основных мероприятий могут стать неэффективное функционирование системы социальной защиты населения, неисполнение полномочий, переданных Горшеченскому району, неэффективное использование бюджетных средств.</w:t>
      </w:r>
      <w:r>
        <w:rPr>
          <w:sz w:val="28"/>
          <w:szCs w:val="28"/>
        </w:rPr>
        <w:t xml:space="preserve"> </w:t>
      </w:r>
      <w:hyperlink w:tooltip="#Par2264" w:anchor="Par2264" w:history="1">
        <w:r>
          <w:rPr>
            <w:sz w:val="28"/>
            <w:szCs w:val="28"/>
          </w:rPr>
          <w:t xml:space="preserve">Перечень</w:t>
        </w:r>
      </w:hyperlink>
      <w:r>
        <w:rPr>
          <w:sz w:val="28"/>
          <w:szCs w:val="28"/>
        </w:rPr>
        <w:t xml:space="preserve"> основных мероприятий Подпрограммы 1 «Управление муниципальной Программой и обеспечение реализации» на 2024-2026 годы приведен в приложении № 2.</w:t>
      </w:r>
      <w:bookmarkStart w:id="14" w:name="Par1945"/>
      <w:r/>
      <w:bookmarkEnd w:id="14"/>
      <w:r/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IV. Основные меры правового регулирования в рамках</w:t>
      </w:r>
      <w:r/>
    </w:p>
    <w:p>
      <w:pPr>
        <w:ind w:firstLine="54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1«Управление муниципальной программой и обеспечение реализации»на 2024-2026 годы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цели Подпрограммы 1 «Управление муниципальной программой и обеспечение реализации» на 2024-2026 годы использование мер правового регулирования не предполагается.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15" w:name="Par1952"/>
      <w:r/>
      <w:bookmarkEnd w:id="15"/>
      <w:r>
        <w:rPr>
          <w:b/>
          <w:sz w:val="28"/>
          <w:szCs w:val="28"/>
        </w:rPr>
        <w:t xml:space="preserve">V. Целевые индикаторы и показатели достижения целей и решения задач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 Подпрограммы 1 «Управление муниципальной программой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обеспечение реализации» на 2024-2026 годы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Целевые индикаторы и показатели Подпрограммы 1 «Управление муниципальной программой и обеспечение реализации» на 2024-2026 годы: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доля населения, имеющего денежные доходы ниже величины прожиточного минимума, в общей численности населения Горшеченского района Курской области;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количество граждан различных категорий, оказавшихся в трудной жизненной ситуации, нуждающихся в адресной материальной поддержке.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015" w:anchor="Par2015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 показателях (индикаторах) Подпрограммы 1 «Управление муниципальной программой и обеспечение реализации» на 2024-2026 годы и их значениях приведены в приложении № 1 к настоящей Программе.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</w:t>
      </w:r>
      <w:r>
        <w:rPr>
          <w:sz w:val="28"/>
          <w:szCs w:val="28"/>
        </w:rPr>
        <w:t xml:space="preserve">зации Подпрограммы 1 «Управление муниципальной программой и обеспечение реализации» на 2024-2026 годы ожидается достижение следующих конечных результатов: обеспечение выполнения целей, задач и реализации Программы, достижение целевых показателей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Подпрограмма 1 «Управление муниципальной программой и обеспечение реализации» на 2024-2026 годы реализуется в один этап: 2024 - 2026 годы.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16" w:name="Par1973"/>
      <w:r/>
      <w:bookmarkEnd w:id="16"/>
      <w:r>
        <w:rPr>
          <w:b/>
          <w:sz w:val="28"/>
          <w:szCs w:val="28"/>
        </w:rPr>
        <w:t xml:space="preserve">VI. Финансовое обеспечение Подпрограммы 1 «Управление муниципальной программой и обеспечение реализации» на 2024-2026 годы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ind w:firstLine="680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  <w:t xml:space="preserve">Объемы ресурсного</w:t>
      </w:r>
      <w:r>
        <w:rPr>
          <w:sz w:val="28"/>
          <w:szCs w:val="28"/>
        </w:rPr>
        <w:t xml:space="preserve"> </w:t>
      </w:r>
      <w:hyperlink w:tooltip="#Par3328" w:anchor="Par3328" w:history="1">
        <w:r>
          <w:rPr>
            <w:sz w:val="28"/>
            <w:szCs w:val="28"/>
          </w:rPr>
          <w:t xml:space="preserve">обеспечени</w:t>
        </w:r>
      </w:hyperlink>
      <w:r>
        <w:rPr>
          <w:sz w:val="28"/>
          <w:szCs w:val="28"/>
        </w:rPr>
        <w:t xml:space="preserve">я реализации Подпрограммы 1 за счет средств областного бюджета и бюджета 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«Горшеченский район» Курской области приведено в приложении № 4 к муниципальной Программе.</w:t>
      </w:r>
      <w:bookmarkStart w:id="17" w:name="Par1988"/>
      <w:r/>
      <w:bookmarkEnd w:id="17"/>
      <w:r/>
      <w:r/>
    </w:p>
    <w:p>
      <w:pPr>
        <w:ind w:firstLine="680"/>
        <w:jc w:val="both"/>
        <w:widowControl w:val="off"/>
        <w:rPr>
          <w:sz w:val="28"/>
          <w:szCs w:val="28"/>
        </w:rPr>
        <w:outlineLvl w:val="2"/>
      </w:pPr>
      <w:r>
        <w:rPr>
          <w:sz w:val="28"/>
          <w:szCs w:val="28"/>
        </w:rPr>
      </w:r>
      <w:r/>
    </w:p>
    <w:p>
      <w:pPr>
        <w:ind w:firstLine="680"/>
        <w:jc w:val="both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VII. Анализ рисков реализации Подпрограммы 1 «Управление муниципальной программой и обеспечение реализации» на 2024-2026 годы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Выполнению поставленных задач могут помешать риски, сложившиеся под влиянием возможных негативных факторов, имеющихся в обществе, и социально-экономических проблем.</w:t>
      </w:r>
      <w:r/>
    </w:p>
    <w:p>
      <w:pPr>
        <w:ind w:firstLine="540"/>
        <w:jc w:val="both"/>
        <w:widowControl w:val="off"/>
        <w:rPr>
          <w:sz w:val="28"/>
          <w:szCs w:val="28"/>
        </w:rPr>
        <w:outlineLvl w:val="3"/>
      </w:pPr>
      <w:r/>
      <w:bookmarkStart w:id="18" w:name="Par1997"/>
      <w:r/>
      <w:bookmarkEnd w:id="18"/>
      <w:r>
        <w:rPr>
          <w:sz w:val="28"/>
          <w:szCs w:val="28"/>
        </w:rPr>
        <w:t xml:space="preserve">1. Макроэкономические риски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системы социального обеспечения, а также затормозить структурные преобразования в ней.</w:t>
      </w:r>
      <w:r/>
    </w:p>
    <w:p>
      <w:pPr>
        <w:ind w:firstLine="540"/>
        <w:jc w:val="both"/>
        <w:widowControl w:val="off"/>
        <w:rPr>
          <w:sz w:val="28"/>
          <w:szCs w:val="28"/>
        </w:rPr>
        <w:outlineLvl w:val="3"/>
      </w:pPr>
      <w:r/>
      <w:bookmarkStart w:id="19" w:name="Par2001"/>
      <w:r/>
      <w:bookmarkEnd w:id="19"/>
      <w:r>
        <w:rPr>
          <w:sz w:val="28"/>
          <w:szCs w:val="28"/>
        </w:rPr>
        <w:t xml:space="preserve">2. Финансовые риски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Отсутствие или недостаточное финансирование мероприятий в рамках Подпрограммы 1 «Управление муниципаль</w:t>
      </w:r>
      <w:r>
        <w:rPr>
          <w:sz w:val="28"/>
          <w:szCs w:val="28"/>
        </w:rPr>
        <w:t xml:space="preserve">ной Программой и обеспечение реализации» на 2024-2026 годы может привести к снижению обеспеченности и качества предоставляемых социальных услуг населению Горшеченского района Курской области и, как следствие, целевые показатели проекта не будут достигнуты.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2646"/>
        <w:gridCol w:w="671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/>
            <w:bookmarkStart w:id="20" w:name="Par482"/>
            <w:r/>
            <w:bookmarkEnd w:id="20"/>
            <w:r/>
            <w:r/>
          </w:p>
        </w:tc>
        <w:tc>
          <w:tcPr>
            <w:gridSpan w:val="2"/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9360" w:type="dxa"/>
            <w:textDirection w:val="lrTb"/>
            <w:noWrap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2 «Развитие мер социальной поддержки отдельных категорий граждан» на 2024-2026 годы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  <w:t xml:space="preserve">ПАСПОРТ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Подпрограммы 2 «Развитие мер социальной поддержки отдельных категорий граждан» на 2024-2026 годы</w:t>
            </w:r>
            <w:r/>
          </w:p>
          <w:p>
            <w:pPr>
              <w:jc w:val="center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подпрограммы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 социальной защиты</w:t>
            </w:r>
            <w:r>
              <w:rPr>
                <w:sz w:val="28"/>
                <w:szCs w:val="28"/>
              </w:rPr>
              <w:t xml:space="preserve">, опеки попечительства Администрации</w:t>
            </w:r>
            <w:r>
              <w:rPr>
                <w:sz w:val="28"/>
                <w:szCs w:val="28"/>
              </w:rPr>
              <w:t xml:space="preserve"> Горшеченского района Курской области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отсутствуют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уровня жизни отдельных категорий граждан  -  получателей мер социальной поддержки</w:t>
            </w:r>
            <w:r/>
          </w:p>
          <w:p>
            <w:pPr>
              <w:pStyle w:val="8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обеспечение предоставления  в  денежной форме  мер социальной   поддержки   отдельным категориям граждан;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охвата бедного населения предоставлением мер социальной поддержки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и показатели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удельный  вес  малоимущих  граждан,  получающих меры  соц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иальной  поддержки  в  соответствии  с нормативными правовыми актами  и  региональными программами   Курской    области,    в    общей численности  малоимущих   граждан   в   Горшеченском районе,   обратившихся   за   получением   мер социальной поддержки;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предоставления мер социальной поддержки отдельным категориям граждан в денежной форме;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 граждан,  которым   будет   оказана адресная  помощь  на   проведение  газификации домовладений (квартир)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pStyle w:val="827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в один этап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объем бюджетных ассигнований подпрограммы за период с 2024  по 2026 годы составляет                      26 457 237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8 819 079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8 819 079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8 819 079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областного бюджета –                         21 440 487 рублей,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7 146 829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7 146 829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7 146 829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муниципального района –    5 016 750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1 672 250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1 672 250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1 672 250  рублей.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46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714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уровня представления в денежной форме мер социальной поддержки отдельным категориям граждан;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бедности отдельных категорий граждан -  получателей мер социальной поддержки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ind w:firstLine="540"/>
        <w:jc w:val="both"/>
        <w:widowControl w:val="off"/>
        <w:rPr>
          <w:sz w:val="28"/>
          <w:szCs w:val="28"/>
        </w:rPr>
      </w:pPr>
      <w:r/>
      <w:bookmarkStart w:id="21" w:name="Par547"/>
      <w:r/>
      <w:bookmarkEnd w:id="21"/>
      <w:r/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I. Общая характеристика сферы реализации Подпрограммы 2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мер социальной поддержки отдельных категорий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граждан на 2024-2026 годы», описание основных проблем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указанной сфере и прогноз ее развития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мер социальной поддержки отдельных категорий граждан является одной из функ</w:t>
      </w:r>
      <w:r>
        <w:rPr>
          <w:sz w:val="28"/>
          <w:szCs w:val="28"/>
        </w:rPr>
        <w:t xml:space="preserve">ций государства, направленной на поддержание и (или) повышение уровня их денежных доходов в связи с особыми заслугами перед Родиной, утратой трудоспособности и тяжести вреда, нанесенного здоровью, а также в связи с нахождением в трудной жизненной ситуации.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отдельных категорий граждан определены законодательством Курской области и региональными программами: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в де</w:t>
      </w:r>
      <w:r>
        <w:rPr>
          <w:sz w:val="28"/>
          <w:szCs w:val="28"/>
        </w:rPr>
        <w:t xml:space="preserve">нежной форме, в том числе ежемесячные денежные выплаты,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в натуральной форме, в т.ч.; предоставление при наличии медицинских показаний путевки на санаторно-курортное лечение;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в форме льгот по оплате жилищно-коммунальных услуг и др.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семей и детей, в связи с их особой функцией, рассматриваются отдельно в рамках </w:t>
      </w:r>
      <w:hyperlink w:tooltip="#Par995" w:anchor="Par995" w:history="1">
        <w:r>
          <w:rPr>
            <w:sz w:val="28"/>
            <w:szCs w:val="28"/>
          </w:rPr>
          <w:t xml:space="preserve">Подпрограммы</w:t>
        </w:r>
      </w:hyperlink>
      <w:r>
        <w:rPr>
          <w:sz w:val="28"/>
          <w:szCs w:val="28"/>
        </w:rPr>
        <w:t xml:space="preserve"> 3 «Улучшение демографической ситуации, совершенствование социальной поддержки семьи и детей» на 2024-2026 годы.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расходным обязательствам Горшеченского района Курской области, финансируемым из областного бюджета, законодательством отнесены меры социальной поддержки: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ветеранов труда;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тружеников тыла;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реабилитированных лиц и лиц, признанных пострадавшими от политических репрессий;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отдельных категорий граждан по обеспечению продовольственными товарами по сниженным ценам и выплата ежемесячной денежной компенсации;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других категорий граждан в соответствии с нормативными правовыми актами и региональными программами Курской области.</w:t>
      </w:r>
      <w:r/>
    </w:p>
    <w:p>
      <w:pPr>
        <w:ind w:firstLine="540"/>
        <w:jc w:val="both"/>
        <w:widowControl w:val="off"/>
      </w:pPr>
      <w:r>
        <w:rPr>
          <w:sz w:val="28"/>
          <w:szCs w:val="28"/>
        </w:rPr>
        <w:t xml:space="preserve">Меры социальной поддержки отдельным категориям гражданам базируются на применении двух подходов: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категориальный подход предоставления мер социальной поддержки - без учета (проверки) нуждаемости граждан (семей) и (или) адресный подход предо</w:t>
      </w:r>
      <w:r>
        <w:rPr>
          <w:sz w:val="28"/>
          <w:szCs w:val="28"/>
        </w:rPr>
        <w:t xml:space="preserve">ставления мер социальной поддержки гражданам - с учетом нуждаемости граждан (семей), исходя из соотношения их доходов с установленной в субъекте Российской Федерации величиной прожиточного минимума соответствующих социально-демографических групп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в категориальной форме дифференцированы с учетом заслуг граждан по защите Отечества, в связи с безупречной военной, </w:t>
      </w:r>
      <w:r>
        <w:rPr>
          <w:sz w:val="28"/>
          <w:szCs w:val="28"/>
        </w:rPr>
        <w:t xml:space="preserve">иной государственной службой, продолжительным добросовестным трудом. При этом наибольший объем льгот </w:t>
      </w:r>
      <w:r>
        <w:rPr>
          <w:sz w:val="28"/>
          <w:szCs w:val="28"/>
        </w:rPr>
        <w:t xml:space="preserve">предоставляется Героям Советского Союза, Героям Российской Федерации, ветеранам, принимавшим непосредственное участие в боевых действиях. Необходимость дифференциации обусловлена потребностью в наиболее полной реализации принципа социальной справедливости.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Преобладающим в настоящее время является категориальный подход предоставления мер социальной поддержки отдельным категориям граждан.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Меры социальной поддержки отдельных категорий граждан - как "федеральных", так и "региональных" льготников предоставляются, в основном, в денежной форме.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муниципальном уровне меры социальной поддержки отдельным категориям граждан предоставляются из средств бюджета муниципального района, в осн</w:t>
      </w:r>
      <w:r>
        <w:rPr>
          <w:sz w:val="28"/>
          <w:szCs w:val="28"/>
        </w:rPr>
        <w:t xml:space="preserve">овном, в виде денежных выплат - как регулярных, так и единовременных (разовых) - выплата доплат к пенсиям муниципальных служащих, в связи с юбилейными событиями, праздниками либо в связи с попаданием в трудную жизненную ситуацию или иными обстоятельствами.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Денежные выплаты за счет областного бюджета предоставляются категориям граждан, определенным как федераль</w:t>
      </w:r>
      <w:r>
        <w:rPr>
          <w:sz w:val="28"/>
          <w:szCs w:val="28"/>
        </w:rPr>
        <w:t xml:space="preserve">ным законодательством, так и законодательством Курской области. Последние, таким образом, получают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Органы муниципальной власти Горшеченского района стремятся предоставлять меры социальной поддержки в денежной форме малоимущим гражданам, в том числе используя адресный подход, механизм проверки нуждаемости.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Однако, несмотря на предпринимаемые действия по развитию мер социальной поддержки отдельных категорий граждан, добиться их существенного влияния на снижение бедности в стране не удается, в том числе в связи с недостаточно</w:t>
      </w:r>
      <w:r>
        <w:rPr>
          <w:sz w:val="28"/>
          <w:szCs w:val="28"/>
        </w:rPr>
        <w:t xml:space="preserve"> последовательным применением адресного принципа предоставления мер социальной поддержки - при определении, как категорий получателей, так и размеров предоставляемых мер социальной поддержки, а также с имеющимися бюджетными ограничениями роста их размеров.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Прогнозируя развитие ситуации, с учетом современного состояния и динамики показателей предоставления мер социальной поддержки отдельным категориям граждан можно предположить следующее.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Некоторое сокращение численност</w:t>
      </w:r>
      <w:r>
        <w:rPr>
          <w:sz w:val="28"/>
          <w:szCs w:val="28"/>
        </w:rPr>
        <w:t xml:space="preserve">и получателей мер социальной поддержки вследствие естественной убыли лиц старших возрастов, относящихся к категориям федеральных и региональных льготников, будет компенсировано за счет ожидаемого роста численности населения старше трудоспособного возраста,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незначительного сокращения уровня абсолютной бедности, прогнозируемого до 2026 года, а также в связи с исполнением принятых о</w:t>
      </w:r>
      <w:r>
        <w:rPr>
          <w:sz w:val="28"/>
          <w:szCs w:val="28"/>
        </w:rPr>
        <w:t xml:space="preserve">бязательств, в соответствии с нормативными правовыми актами и региональными программами Курской области и органов местного самоуправления. В результате численность получателей мер социальной поддержки и, соответственно, суммарные расходы бюджетной системы </w:t>
      </w:r>
      <w:r>
        <w:rPr>
          <w:sz w:val="28"/>
          <w:szCs w:val="28"/>
        </w:rPr>
        <w:t xml:space="preserve">Российской Федерации на обеспечение законодательно определенных мер социальной поддержки отдельных категорий граждан не сократятся, в том числе вследствие инфляционных явлений.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Ожидаемое изменение социально-демографической структуры контингента получателей мер социальной поддержки предполагает изменение приоритетов в определении категорий получателей мер социальной поддержки, у</w:t>
      </w:r>
      <w:r>
        <w:rPr>
          <w:sz w:val="28"/>
          <w:szCs w:val="28"/>
        </w:rPr>
        <w:t xml:space="preserve">словий их представления, в том числе путем активизации адресной социальной поддержки бедного населения, иных категорий граждан, находящихся в трудной жизненной ситуации, расширения сферы применения механизмов социальных контрактов, оценки нуждаемости и пр.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 С учетом прогнозируемого изменения социально-демографической структуры получате</w:t>
      </w:r>
      <w:r>
        <w:rPr>
          <w:sz w:val="28"/>
          <w:szCs w:val="28"/>
        </w:rPr>
        <w:t xml:space="preserve">лей мер социальной поддержки потребуется разработка нормативных правовых, методических и информационных инструментов, обеспечивающих принятие эффективных управленческих решений, связанных с организацией мер социальной поддержки отдельных категорий граждан.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22" w:name="Par590"/>
      <w:r/>
      <w:bookmarkEnd w:id="22"/>
      <w:r>
        <w:rPr>
          <w:b/>
          <w:sz w:val="28"/>
          <w:szCs w:val="28"/>
        </w:rPr>
        <w:t xml:space="preserve">II. Приоритеты, цели и задачи муниципальной политики, в том числе общие требования в сфере реализации Подпрограммы 2 «Развитие мер социальной поддержки отдельных категорий граждан на 2024-2026 годы»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</w:t>
      </w:r>
      <w:r>
        <w:rPr>
          <w:sz w:val="28"/>
          <w:szCs w:val="28"/>
        </w:rPr>
        <w:t xml:space="preserve">влением муниципальной политики в области социальной поддержки является повышение эффективности социальной поддержки отдельных групп населения, в том числе путем усиления адресности социальной помощи, совершенствования процедур проверки нуждаемости граждан.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Указанные приоритеты направлены на повышение уровня и качества жизни населения; обеспечение адресной поддержки лиц, относящихся к категории бедных, </w:t>
      </w:r>
      <w:r>
        <w:rPr>
          <w:sz w:val="28"/>
          <w:szCs w:val="28"/>
        </w:rPr>
        <w:t xml:space="preserve">формирование системы социальной поддержки и адаптации, обеспечивающей, помимо функции социальной защиты, также функции социального развития; создание доступных механизмов "социального лифта" для всех, в том числе для социально уязвимых категорий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Цель Подпрограммы 2 "Развитие мер социальной поддержки отдельных категорий граждан" на 2024-2026 годы - повышение уровня жизни граждан - получателей мер социальной поддержки.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цели подпрограммы предстоит обеспечить решение следующих задач: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предоставления в денежной форме мер социальной поддержки отдельным категориям граждан;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повышение охвата бедного населения предоставлением мер социальной поддержки.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будет способствовать достижению следующих ожидаемых результатов реализации подпрограммы: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повышение уровня представления в денежной форме мер социальной поддержки отдельным категориям граждан;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снижение бедности отдельных категорий граждан -  получателей мер социальной поддержки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охват бедного населения муниципальной Программой социальной </w:t>
      </w:r>
      <w:r>
        <w:rPr>
          <w:sz w:val="28"/>
          <w:szCs w:val="28"/>
        </w:rPr>
        <w:t xml:space="preserve">поддержки к 2026 году.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Подпрограммы - 2024 - 2026 годы, в один этап.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основная часть мероприятий Подпрограммы 2 «Развитие мер социальной поддержки отдельных катего</w:t>
      </w:r>
      <w:r>
        <w:rPr>
          <w:sz w:val="28"/>
          <w:szCs w:val="28"/>
        </w:rPr>
        <w:t xml:space="preserve">рий граждан» на 2024-2026 годы связана с последовательной реализацией «длящихся» социальных обязательств Российской Федерации и Курской области по предоставлению мер социальной поддержки гражданам, выделение этапов реализации подпрограммы не предусмотрено.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23" w:name="Par638"/>
      <w:r/>
      <w:bookmarkEnd w:id="23"/>
      <w:r>
        <w:rPr>
          <w:b/>
          <w:sz w:val="28"/>
          <w:szCs w:val="28"/>
        </w:rPr>
        <w:t xml:space="preserve">III. Перечень и характеристика основных мероприятий Подпрограммы 2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"Развитие мер социальной поддержки отдельных категорий граждан"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 на 2024-2026 годы. Сроки, этапы реализации и ожидаемые 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конечные результаты подпрограммы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цели и решения задач Подпрограммы 2 «Развитие мер социальной поддержки отдельных категорий граждан» на 2024-2026 годы будут реализовываться следующие основные мероприятия: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направленные на </w:t>
      </w:r>
      <w:r>
        <w:rPr>
          <w:sz w:val="28"/>
          <w:szCs w:val="28"/>
        </w:rPr>
        <w:t xml:space="preserve">предоставление социальных выплат и мер социальной поддержки отдельным категориям граждан за счет средств областного бюджета</w:t>
      </w:r>
      <w:r>
        <w:rPr>
          <w:bCs/>
          <w:sz w:val="28"/>
          <w:szCs w:val="28"/>
        </w:rPr>
        <w:t xml:space="preserve">, в том числе: 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социальная поддержка граждан,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том числе: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ежемесячное пособие на ребенка;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мер социальной поддержки реабилитированных лиц и лиц, признанных пострадавшими от политических репрессий</w:t>
      </w:r>
      <w:r>
        <w:rPr>
          <w:bCs/>
          <w:sz w:val="28"/>
          <w:szCs w:val="28"/>
        </w:rPr>
        <w:t xml:space="preserve">; </w:t>
      </w:r>
      <w:r>
        <w:rPr>
          <w:sz w:val="28"/>
          <w:szCs w:val="28"/>
        </w:rPr>
        <w:t xml:space="preserve">предоставление социальной поддержки отдельным категориям граждан по обеспечению продовольственными товарами</w:t>
      </w:r>
      <w:r>
        <w:rPr>
          <w:bCs/>
          <w:sz w:val="28"/>
          <w:szCs w:val="28"/>
        </w:rPr>
        <w:t xml:space="preserve">; обеспечение мер социальной поддержки ветеранов труда; обеспечение мер социальной поддержки тружеников тыла;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направленные на организацию своевременного и в полном объеме обеспечения прав отдельных категорий граждан на меры социальной поддержки, а также на </w:t>
      </w:r>
      <w:r>
        <w:rPr>
          <w:sz w:val="28"/>
          <w:szCs w:val="28"/>
        </w:rPr>
        <w:t xml:space="preserve">расширение масштабов адресной социальной</w:t>
      </w:r>
      <w:r>
        <w:rPr>
          <w:bCs/>
          <w:sz w:val="28"/>
          <w:szCs w:val="28"/>
        </w:rPr>
        <w:t xml:space="preserve"> и материальной</w:t>
      </w:r>
      <w:r>
        <w:rPr>
          <w:sz w:val="28"/>
          <w:szCs w:val="28"/>
        </w:rPr>
        <w:t xml:space="preserve"> поддержки, оказываемой населению</w:t>
      </w:r>
      <w:r>
        <w:rPr>
          <w:bCs/>
          <w:sz w:val="28"/>
          <w:szCs w:val="28"/>
        </w:rPr>
        <w:t xml:space="preserve"> за счет средств бюджета муниципального района «Горшеченский район» Курской области, в том числе:</w:t>
      </w:r>
      <w:r/>
    </w:p>
    <w:p>
      <w:pPr>
        <w:ind w:firstLine="540"/>
        <w:jc w:val="both"/>
        <w:widowControl w:val="o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предоставление доплат к пенсии</w:t>
      </w:r>
      <w:r>
        <w:rPr>
          <w:bCs/>
          <w:sz w:val="28"/>
          <w:szCs w:val="28"/>
        </w:rPr>
        <w:t xml:space="preserve">;</w:t>
      </w:r>
      <w:r/>
    </w:p>
    <w:p>
      <w:pPr>
        <w:ind w:firstLine="540"/>
        <w:jc w:val="both"/>
        <w:widowControl w:val="off"/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обеспечение реализации отдельных мероприятий, направленных на улучшение положения и качества жизни граждан</w:t>
      </w:r>
      <w:r>
        <w:rPr>
          <w:bCs/>
          <w:sz w:val="28"/>
          <w:szCs w:val="28"/>
        </w:rPr>
        <w:t xml:space="preserve">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Подпрограммы 2 «Развитие мер социальной поддержки отдельных</w:t>
      </w:r>
      <w:r>
        <w:rPr>
          <w:sz w:val="28"/>
          <w:szCs w:val="28"/>
        </w:rPr>
        <w:t xml:space="preserve"> категорий граждан» на 2024-2026 годы фактически являются "длящимися" социальными обязательствами по предоставлению мер социальной поддержки гражданам и будут исполняться в течение всего срока реализации Программы - в период 2024 - 2026 годов, в один этап.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Исполнителем всех вышеперечисленных мероприятий выступает Отдел социальной защиты</w:t>
      </w:r>
      <w:r>
        <w:rPr>
          <w:sz w:val="28"/>
          <w:szCs w:val="28"/>
        </w:rPr>
        <w:t xml:space="preserve">, опеки и попечительства</w:t>
      </w:r>
      <w:r>
        <w:rPr>
          <w:sz w:val="28"/>
          <w:szCs w:val="28"/>
        </w:rPr>
        <w:t xml:space="preserve"> Администрации Горшеченского района Курской области.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Ожидаемым непосредственным результатом реализации мероприятий является своевременное и каче</w:t>
      </w:r>
      <w:r>
        <w:rPr>
          <w:sz w:val="28"/>
          <w:szCs w:val="28"/>
        </w:rPr>
        <w:t xml:space="preserve">ственное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иждивенческих настроений, увеличение эффективности оказания </w:t>
      </w:r>
      <w:r>
        <w:rPr>
          <w:sz w:val="28"/>
          <w:szCs w:val="28"/>
        </w:rPr>
        <w:t xml:space="preserve">материальной помощи семьям, находящимся в трудной жизненной ситуации.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2 «Развитие мер социальной поддержки отдельных категорий граждан» на 2024-2026 годы увязаны с такими показателями подпрограммы, как: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удельный вес малоимущих граждан, получающих меры социальной поддержки в соответствии с нормативными правовыми актами Курской области, в общей численности малоимущих граждан в Горшеченском районе, обратившихся за получением мер социальной поддержки;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уровень предоставления мер социальной поддержки отдельным категориям граждан в денежной форме;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количество граждан, которым будет оказана адресная помощь на проведение газификации домовладений (квартир).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Последствиями нереализации основных мероприятий могут стать неэффективное расходование бюджетных средств, увеличение иждивенческих настроени</w:t>
      </w:r>
      <w:r>
        <w:rPr>
          <w:sz w:val="28"/>
          <w:szCs w:val="28"/>
        </w:rPr>
        <w:t xml:space="preserve">й, несвоевременность социальных выплат населению, снижение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264" w:anchor="Par2264" w:history="1">
        <w:r>
          <w:rPr>
            <w:sz w:val="28"/>
            <w:szCs w:val="28"/>
          </w:rPr>
          <w:t xml:space="preserve">Перечень</w:t>
        </w:r>
      </w:hyperlink>
      <w:r>
        <w:rPr>
          <w:sz w:val="28"/>
          <w:szCs w:val="28"/>
        </w:rPr>
        <w:t xml:space="preserve"> основных мероприятий Подпрограммы 2 «Развитие мер социальной поддержки отдельных категорий граждан» на 2024-2026 годы приведен в приложении № 2 к настоящей Программе.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24" w:name="Par659"/>
      <w:r/>
      <w:bookmarkEnd w:id="24"/>
      <w:r>
        <w:rPr>
          <w:b/>
          <w:sz w:val="28"/>
          <w:szCs w:val="28"/>
        </w:rPr>
        <w:t xml:space="preserve">IV. Основные меры правового регулирования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рамках Подпрограммы 2 "Развитие мер социальной поддержки отдельных категорий граждан" на 2024-2026 годы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Мерами правового регулирования в </w:t>
      </w:r>
      <w:r>
        <w:rPr>
          <w:sz w:val="28"/>
          <w:szCs w:val="28"/>
        </w:rPr>
        <w:t xml:space="preserve">рамках Подпрограммы 2 "Развитие мер социальной поддержки отдельных категорий граждан" на 2024-2026 годы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</w:t>
      </w:r>
      <w:hyperlink r:id="rId14" w:tooltip="consultantplus://offline/ref=2D2E575CF12CFFD3A29C17A073209D35C379D6129CE3CDDA8C4F7897AD367457D3A2E4771527A71932D6K" w:history="1">
        <w:r>
          <w:rPr>
            <w:sz w:val="28"/>
            <w:szCs w:val="28"/>
          </w:rPr>
          <w:t xml:space="preserve">программой</w:t>
        </w:r>
      </w:hyperlink>
      <w:r>
        <w:t xml:space="preserve"> </w:t>
      </w:r>
      <w:r>
        <w:rPr>
          <w:sz w:val="28"/>
          <w:szCs w:val="28"/>
        </w:rPr>
        <w:t xml:space="preserve">Российской Федерации «Социальная поддержка граждан», утвержденной постановлением Правительства Российской Федерации от 15 апреля 2014 года №296, в том числе принятие закона Курской области «Об оказании государственной социальной помощи в Курской области».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996" w:anchor="Par2996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 мерах правового регулирования в сфере реализации Подпрограммы 2 "Развитие мер социальной поддержки отдельных категорий граждан" на 2024-2026 годы приведены в приложении № 3 к настоящей Программе.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25" w:name="Par667"/>
      <w:r/>
      <w:bookmarkEnd w:id="25"/>
      <w:r/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V. </w:t>
      </w:r>
      <w:bookmarkStart w:id="26" w:name="Par686"/>
      <w:r/>
      <w:bookmarkEnd w:id="26"/>
      <w:r>
        <w:rPr>
          <w:b/>
          <w:sz w:val="28"/>
          <w:szCs w:val="28"/>
        </w:rPr>
        <w:t xml:space="preserve">Целевые индикаторы и показатели достижения целей и решения задач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2 "Развитие мер социальной поддержки отдельных категорий граждан"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2024-2026 годы</w:t>
      </w:r>
      <w:r/>
    </w:p>
    <w:p>
      <w:pPr>
        <w:ind w:firstLine="54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Целевыми индикаторами и показателями подпрограммы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удельный вес малоимущих граждан, получающих меры социальной поддержки в соответствии с нормативными правовыми актами и </w:t>
      </w:r>
      <w:r>
        <w:rPr>
          <w:sz w:val="28"/>
          <w:szCs w:val="28"/>
        </w:rPr>
        <w:t xml:space="preserve">региональными программами Курской области, в общей численности малоимущих граждан в Горшеченском районе, обратившихся за получением мер социальной поддержки (в процентах);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2) уровень предоставления мер социальной поддержки отдельным категориям граждан в денежной форме </w:t>
      </w:r>
      <w:r>
        <w:rPr>
          <w:sz w:val="28"/>
          <w:szCs w:val="28"/>
        </w:rPr>
        <w:t xml:space="preserve">(в процентах);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bCs/>
          <w:sz w:val="28"/>
          <w:szCs w:val="28"/>
        </w:rPr>
        <w:t xml:space="preserve">количество граждан, которым будет оказана адресная помощь на проведение газификации домовладений (квартир).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Показатели позволяют оценить результаты реализации в районе мероприятий по сокращению масштабов предоставления мер социальной поддержки гра</w:t>
      </w:r>
      <w:r>
        <w:rPr>
          <w:sz w:val="28"/>
          <w:szCs w:val="28"/>
        </w:rPr>
        <w:t xml:space="preserve">ждан из областного бюджета по категориальному признаку, без учета нуждаемости, и соответствующему повышению уровня охвата малоимущих граждан мерами социальной поддержки, предоставляемыми в соответствии с нормативными правовыми актами Курской области. Данны</w:t>
      </w:r>
      <w:r>
        <w:rPr>
          <w:sz w:val="28"/>
          <w:szCs w:val="28"/>
        </w:rPr>
        <w:t xml:space="preserve">е мероприятия, реализуемые на муниципальном уровне, помимо снижения уровня абсолютной бедности в Горшеченском районе, будут способствовать также повышению эффективности использования средств областного бюджета, направляемых на социальную поддержку граждан.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1 определяется как отношение численности малоимущих граждан, </w:t>
      </w:r>
      <w:r>
        <w:rPr>
          <w:sz w:val="28"/>
          <w:szCs w:val="28"/>
        </w:rPr>
        <w:t xml:space="preserve">лиц, имеющих низкий уровень индивидуального дохода, получивших в отчетном году денежные выплаты и компенсации (регулярные и разовые) в соответствии с нормативными правовыми Курской области, к численности обратившихся за получением мер социальной поддержки.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1 определяется по формуле: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B / A x 100%, где: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B - численность малоимущих граждан, лиц, имеющих низкий уровень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Курской области, человек;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A - общая численность малоимущих граждан в Горшеченском районе, обратившихся за получением мер социальной поддержки, человек.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Данный показатель по годам реализации Программы планируется обеспечить на уровне 100% ежегодно, с учетом реализации в Горшеченском районе мер по повышению уровня адресности социальной поддержки малообеспеченных групп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2 - уровень предоставления мер социальной поддержки отдельным категориям граждан в денежной форме позволяет оцениват</w:t>
      </w:r>
      <w:r>
        <w:rPr>
          <w:sz w:val="28"/>
          <w:szCs w:val="28"/>
        </w:rPr>
        <w:t xml:space="preserve">ь результаты реализации в Горшеченском районе Курской области мероприятий, направленных на повышение уровня представления отдельным категориям граждан мер социальной поддержки в денежной форме в соответствии с нормативными правовыми актами Курской области.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определяется как отношение численности отдельных категор</w:t>
      </w:r>
      <w:r>
        <w:rPr>
          <w:sz w:val="28"/>
          <w:szCs w:val="28"/>
        </w:rPr>
        <w:t xml:space="preserve">ий граждан, получивших в отчетном году денежные выплаты в соответствии с нормативными правовыми актами и программами Курской области и органов местного самоуправления, к общей численности граждан, имеющих в отчетном году право на меры социальной поддержки.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определяется по формуле: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B / A x 100%, где: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A - общая численность граждан, имеющих в отчетном году право на меры социальной поддержки в соответствии с нормативными правовыми актами Курской области, человек;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B - численность отдельных категорий граждан, получивших в отчетном году денежные выплаты в соответствии с нормативными правовыми актами Курской области, человек.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Динамика данного показателя по годам реализации П</w:t>
      </w:r>
      <w:r>
        <w:rPr>
          <w:sz w:val="28"/>
          <w:szCs w:val="28"/>
        </w:rPr>
        <w:t xml:space="preserve">рограммы будет складываться в результате реализации в Курской области мер по расширению масштабов предоставления в денежной форме мер социальной поддержки отдельных категорий граждан в рамках нормативных правовых актов, финансируемых из областного бюджета.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Третий показатель - количество граждан, которым будет оказана адресная помощь на проведение газификации домовладений (квартир).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выражается в абсолютных единицах (количество человек), определяется как число граждан, которым в соответствующем году оказана адресная помощь на проведение газификации домовладений (квартир).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Динамика данного показателя по годам реализации Программы будет складываться с учетом хода газификации территории Горшеченского района Курской области и количества граждан названной категории, нуждающихся в предоставлении данной меры социальной поддержки.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015" w:anchor="Par2015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 показателях (индикаторах) подпрограммы 2 "Развитие мер социальной поддержки отдельных категорий граждан"  на 2024-2026 годы и их значениях указываются в приложении № 1 к Программе.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VI. Финансовое обеспечение Подпрограммы 2"Развитие мер социальной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поддержки отдельных категорий граждан" на 2024-2026 годы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Объемы ресурсного</w:t>
      </w:r>
      <w:r>
        <w:rPr>
          <w:sz w:val="28"/>
          <w:szCs w:val="28"/>
        </w:rPr>
        <w:t xml:space="preserve"> </w:t>
      </w:r>
      <w:hyperlink w:tooltip="#Par3328" w:anchor="Par3328" w:history="1">
        <w:r>
          <w:rPr>
            <w:sz w:val="28"/>
            <w:szCs w:val="28"/>
          </w:rPr>
          <w:t xml:space="preserve">обеспечени</w:t>
        </w:r>
      </w:hyperlink>
      <w:r>
        <w:rPr>
          <w:sz w:val="28"/>
          <w:szCs w:val="28"/>
        </w:rPr>
        <w:t xml:space="preserve">я реализации Подпрограммы 2 "Развитие мер социальной поддержки отдельных категорий граждан" на 2024-2026 годы за счет средств областного и муниципального бюджета приведены в приложении № 4 к муниципальной Программе.</w:t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27" w:name="Par702"/>
      <w:r/>
      <w:bookmarkEnd w:id="27"/>
      <w:r>
        <w:rPr>
          <w:b/>
          <w:sz w:val="28"/>
          <w:szCs w:val="28"/>
        </w:rPr>
        <w:t xml:space="preserve">VII. Анализ рисков реализации Подпрограммы 2 "Развитие мер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социальной поддержки отдельных категорий граждан"на 2024-2026 годы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оценки достижения цели Подпрограммы 2"Развитие мер социа</w:t>
      </w:r>
      <w:r>
        <w:rPr>
          <w:sz w:val="28"/>
          <w:szCs w:val="28"/>
        </w:rPr>
        <w:t xml:space="preserve">льной поддержки отдельных категорий граждан" на 2024-2026 годы Программы необходимо учитывать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при этом в рамках Подпрограммы 2 "Развитие мер социальной поддержки отдельных категорий граждан"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2024-2026 годы будет уделено финансовым рискам, связанным с исполнением обязательств по </w:t>
      </w:r>
      <w:r>
        <w:rPr>
          <w:sz w:val="28"/>
          <w:szCs w:val="28"/>
        </w:rPr>
        <w:t xml:space="preserve">предоставлению мер социальной поддержки отдельным категориям населения за счет средств областного бюджета, возможности которого в настоящее время существенно ограничены.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этой связи для минимизации финансовых рисков в рамках Подпрограммы 2 "Развитие мер социальной поддержки отдельных категорий граждан"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2024-2026 годы Программы будет осуществляться: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мониторинг законотворческой деятельности Курской обл</w:t>
      </w:r>
      <w:r>
        <w:rPr>
          <w:sz w:val="28"/>
          <w:szCs w:val="28"/>
        </w:rPr>
        <w:t xml:space="preserve">асти в сфере социальной поддержки граждан и принятие мер, направленных на сокращение сферы применения категориального подхода и развитие адресного подхода к предоставлению мер социальной поддержки отдельным категориям граждан, на основе оценки нуждаемости;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программ Курской области с позиций решения проблем бедности.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в рамках Подпрограммы 2 "Развитие мер социальной поддержки отдельных категорий граждан"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2024-2026 годы Программы будут минимизироваться путем разработки предложений по совершенствованию форм федерального статистического наблюдения за представлением мер социальной поддержки гражданам в целях повышения их полноты и информационной полезности.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Подпрограммы 2 "Развитие мер социальной поддержки отдельных категорий граждан"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 2024-2026 годы Программы будет ежегодно производиться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оценке эффективности Подпрограммы 2 "Развитие мер социальной поддержки отдельных категорий граждан"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2024-2026 годы Программы будут сравниваться текущие значения целевых индикаторов, определяемые на основе анализа форм отчетности, с значениями, запланированными Программой, определенными на соответствующий отчетный год (</w:t>
      </w:r>
      <w:hyperlink w:tooltip="#Par2015" w:anchor="Par2015" w:history="1">
        <w:r>
          <w:rPr>
            <w:sz w:val="28"/>
            <w:szCs w:val="28"/>
          </w:rPr>
          <w:t xml:space="preserve">приложение № 1</w:t>
        </w:r>
      </w:hyperlink>
      <w:r>
        <w:rPr>
          <w:sz w:val="28"/>
          <w:szCs w:val="28"/>
        </w:rPr>
        <w:t xml:space="preserve"> к настоящей Программе).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Look w:val="01E0" w:firstRow="1" w:lastRow="1" w:firstColumn="1" w:lastColumn="1" w:noHBand="0" w:noVBand="0"/>
      </w:tblPr>
      <w:tblGrid>
        <w:gridCol w:w="464"/>
        <w:gridCol w:w="2583"/>
        <w:gridCol w:w="6806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9540" w:type="dxa"/>
            <w:textDirection w:val="lrTb"/>
            <w:noWrap/>
          </w:tcPr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3 «Улучшение демографической ситуации, совершенствование социальной поддержки семьи и детей»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2024-2026 годы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  <w:t xml:space="preserve">ПАСПОРТ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Подпрограммы 3 «Улучшение демографической ситуации, совершенствование социальной поддержки семьи и детей»</w:t>
            </w:r>
            <w:r/>
          </w:p>
          <w:p>
            <w:pPr>
              <w:jc w:val="center"/>
              <w:widowControl w:val="o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</w:t>
            </w:r>
            <w:r>
              <w:rPr>
                <w:b/>
                <w:sz w:val="28"/>
                <w:szCs w:val="28"/>
                <w:lang w:val="en-US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-202</w:t>
            </w:r>
            <w:r>
              <w:rPr>
                <w:b/>
                <w:sz w:val="28"/>
                <w:szCs w:val="28"/>
                <w:lang w:val="en-US"/>
              </w:rPr>
              <w:t xml:space="preserve">6</w:t>
            </w:r>
            <w:r>
              <w:rPr>
                <w:b/>
                <w:sz w:val="28"/>
                <w:szCs w:val="28"/>
              </w:rPr>
              <w:t xml:space="preserve"> годы</w:t>
            </w:r>
            <w:r/>
          </w:p>
          <w:p>
            <w:pPr>
              <w:jc w:val="center"/>
              <w:keepLines/>
              <w:keepNext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</w:t>
            </w:r>
            <w:r/>
          </w:p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</w:t>
            </w:r>
            <w:r>
              <w:rPr>
                <w:sz w:val="28"/>
                <w:szCs w:val="28"/>
              </w:rPr>
              <w:t xml:space="preserve"> социальной защиты, </w:t>
            </w:r>
            <w:r>
              <w:rPr>
                <w:sz w:val="28"/>
                <w:szCs w:val="28"/>
              </w:rPr>
              <w:t xml:space="preserve">опеки и попечительства Администрации Горшеченского района Курской области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отдел социальной защиты</w:t>
            </w:r>
            <w:r>
              <w:rPr>
                <w:sz w:val="28"/>
                <w:szCs w:val="28"/>
              </w:rPr>
              <w:t xml:space="preserve">, опеки и попечительства</w:t>
            </w:r>
            <w:r>
              <w:rPr>
                <w:sz w:val="28"/>
                <w:szCs w:val="28"/>
              </w:rPr>
              <w:t xml:space="preserve"> Администрации Горшеченского района Курской области;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Администрации Горшеченского района Курской области;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вопросам культуры, молодежи, физической культуры и спорта Администрации Горшеченского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ЗАГС Администрации Горшеченского района Курской области;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строительства, архитектуры, ЖКХ, земельных и имущественных правоотношений, охраны окружающей среды, транспорта и связи Администрации Горшеченского района Курской области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улучшение демографической ситуации;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социальной и экономической устойчивости семьи</w:t>
            </w:r>
            <w:r/>
          </w:p>
          <w:p>
            <w:pPr>
              <w:pStyle w:val="8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качества жизни семей с детьми;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снижение уровня семейного неблагополучия, беспризорности и безнадзорности, социального сиротства;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стимулирование рождаемости</w:t>
            </w:r>
            <w:r/>
          </w:p>
          <w:p>
            <w:pPr>
              <w:pStyle w:val="827"/>
              <w:jc w:val="both"/>
              <w:widowControl/>
              <w:tabs>
                <w:tab w:val="left" w:pos="3045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и показатели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доля детей из семей с денежными доходами ниже величины прожиточного минимума в Курской области от общей численности  детей, проживающих в Горшеченском районе;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детей, оставшихся без попечения  родителей, - всего, в том числе переданных  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родственникам (в приемные семьи, на усыновление  (удочерение), под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опеку (попечительство),  охваченных  другими формами семейного устройства  (семейные  детские дома,   патронатные   семьи),   находящихся    в государственных (муниципальных) учреждениях всех  типов;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суммарный коэффициент рождаемости;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удельный вес семей с детьми, получивших социальные услуги в учреждениях социального обслуживания семьи и детей, к общему числу семей с детьми, находящихся в трудной жизненной ситуации  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pStyle w:val="827"/>
              <w:jc w:val="both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в один этап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 объем бюджетных ассигнований подпрограммы за период с 2024  по 2026 г.г. составляет                           67 109 414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2024 год –  20 408 209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 –  20 408 209рублей;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2026 год –  26 292 996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за счет средств областного бюджета –                          65 198 414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2024 год – 19 771 209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 – 19 771 209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2026 год – 25 655 966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за счет средств бюджета муниципального района –     1 911 000 рублей, в том числе по годам: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2024 год – 637 000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2025 год – 637 000  рублей;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2026 год – 637 000 рублей.</w:t>
            </w:r>
            <w:r/>
          </w:p>
          <w:p>
            <w:pPr>
              <w:jc w:val="both"/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68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623" w:type="dxa"/>
            <w:textDirection w:val="lrTb"/>
            <w:noWrap/>
          </w:tcPr>
          <w:p>
            <w:pPr>
              <w:keepLines/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подпрограммы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17" w:type="dxa"/>
            <w:textDirection w:val="lrTb"/>
            <w:noWrap/>
          </w:tcPr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уровня жизни семей с детьми;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достижение  к  2026  году  78%   доли   детей, оставшихся без попечения родителей, -  всего,  в том числе переданных 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родственник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 (в приемные семьи, на усыновление  (удочерение),  под  опеку (попечительство),  охваченных  другими   формами семейного  устройства  (семейные  детские  дома, патронатные      семьи), находящихся в государственных (муниципальных) учреждениях всех типов;</w:t>
            </w:r>
            <w:r/>
          </w:p>
          <w:p>
            <w:pPr>
              <w:pStyle w:val="8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суммарного коэффициента рождаемости  к 2026 году до 1,566</w:t>
            </w:r>
            <w:r/>
          </w:p>
          <w:p>
            <w:pPr>
              <w:jc w:val="both"/>
              <w:keepLines/>
              <w:keepNext/>
              <w:tabs>
                <w:tab w:val="num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ind w:firstLine="540"/>
        <w:jc w:val="both"/>
        <w:widowControl w:val="off"/>
        <w:rPr>
          <w:sz w:val="28"/>
          <w:szCs w:val="28"/>
        </w:rPr>
      </w:pPr>
      <w:r/>
      <w:bookmarkStart w:id="28" w:name="Par1074"/>
      <w:r/>
      <w:bookmarkEnd w:id="28"/>
      <w:r/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I. Общая характеристика сферы реализации Подпрограммы 3"Улучшение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демографической ситуации, совершенствование социальной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поддержки семьи и детей" на 2024-2026 годы, описание основных проблем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в указанной сфере и прогноз ее развития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Социальная поддержка семьи и детей является важным направлением государственной с</w:t>
      </w:r>
      <w:r>
        <w:rPr>
          <w:sz w:val="28"/>
          <w:szCs w:val="28"/>
        </w:rPr>
        <w:t xml:space="preserve">емейной и демографической политики. В Горшеченском районе проводится работа, направленная на социальную поддержку семьи,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2008 года в районе проводится широкомасштабная</w:t>
      </w:r>
      <w:r>
        <w:rPr>
          <w:sz w:val="28"/>
          <w:szCs w:val="28"/>
        </w:rPr>
        <w:t xml:space="preserve"> благотворительная акция, объединяющая усилия институтов гражданского общества, органов власти, представителей крупного и мелкого бизнеса в решении проблем семей, находящихся в трудной жизненной ситуации, - районный благотворительный марафон "Мир детства".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решение проблем семьи, материнства и детства, развитие социальной сферы ежегодно выделяется более 30% средств бюджета района.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Горшеченском районе Курской области дополнительно к федеральным оказываются следующие региональные меры социальной поддержки семей с детьми: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ежемесячное пособие семьям при рождении второго ребенка до достижения им возраста 3 лет в размере 2000 руб.;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ежемесячное пособие малоимущим семьям, имеющим детей, в которых оба родителя являются студентами (обучающимися), и студентам (обучающимся), являющимся одинокими родителями, в размере 3703,69 руб. на каждого ребенка;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ежемесячное пособие многодетным семьям, в составе которых есть восемь и более детей в возрасте до 18 лет  и дети, достигшие совершенн</w:t>
      </w:r>
      <w:r>
        <w:rPr>
          <w:sz w:val="28"/>
          <w:szCs w:val="28"/>
        </w:rPr>
        <w:t xml:space="preserve">олетия, обучающиеся по очной форме обучения в образовательных организациях (за исключением организаций дополнительного образования) до окончания такого обучения, но не дольше, чем до достижения ими возраста 23 лет, размер которого составит - 10162,59 руб.;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ежегодная денежная выплата на обеспечени</w:t>
      </w:r>
      <w:r>
        <w:rPr>
          <w:sz w:val="28"/>
          <w:szCs w:val="28"/>
        </w:rPr>
        <w:t xml:space="preserve">е школьной формой, либо заменяющим ее комплектом детской одежды для посещения школьных занятий, а также спортивной формой на детей, обучающихся в общеобразовательных организациях, размер которой составит 9361,67 руб. на мальчика и 10730,80 руб. на девочку;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единовременное пособие семьям при рождении ребенка из средств бюджета Горшеченского муниципального района: 3000 руб.-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регистрации рождения первого ребенка,  4000 руб.-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регистрации рождения второго ребенка, 5000 руб.-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регистрации рождения третьего ребенка.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компенсация расходов на оплату коммунальных услуг для много</w:t>
      </w:r>
      <w:r>
        <w:rPr>
          <w:sz w:val="28"/>
          <w:szCs w:val="28"/>
        </w:rPr>
        <w:t xml:space="preserve">детных семей в зависимости от количества детей в семье в следующих размерах: 30% - для семей, имеющих 3 - 5 детей, 45% - для семей, имеющих 6 - 8 детей, 70% - для семей, имеющих 9 - 10 детей, 100% - для семей, имеющих 11 и более детей в возрасте до 18 лет;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компенсация расходов на приобретение твердого топлива в пределах норм, </w:t>
      </w:r>
      <w:r>
        <w:rPr>
          <w:sz w:val="28"/>
          <w:szCs w:val="28"/>
        </w:rPr>
        <w:t xml:space="preserve">установленных для продажи населению, и оплату транспортных услуг для доставки этого топлива в размере 100 процентов произведенных расходов;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право для многодетных семей на бесплатное посещение один раз в месяц музеев, выставок, парков культуры и отдыха, находящихся в ведении государственной власти Курской области;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право на первоочередной прием детей в дошкольные образовательные учреждения для многодетных, замещающих, студенческих семей, одиноких родителей, родителей, имеющих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степени ограничения трудоспособности, родителей, проходящих военную службу или службу в органах внутренних дел;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право для многодетных семей на бесплатное пребывание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 в детском саду;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право на присвоение звания "Ветеран труда Курской о</w:t>
      </w:r>
      <w:r>
        <w:rPr>
          <w:sz w:val="28"/>
          <w:szCs w:val="28"/>
        </w:rPr>
        <w:t xml:space="preserve">бласти" вне зависимости от продолжительности трудового стажа родителям (законным представителям), воспитавшим 4 и более детей, представленным и награжденным в установленном порядке наградами и поощрениями Курской области за особый вклад в воспитание детей;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адресная социальная помощь многодетным малоимущим семьям на газификацию домовладений (квартир) в размере сметной стоимости работ до 100 тыс. рублей и другие.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2011 года в соответствии с </w:t>
      </w:r>
      <w:hyperlink r:id="rId15" w:tooltip="consultantplus://offline/ref=2D2E575CF12CFFD3A29C09AD654CC739C571811696EBCE8DD81023CAFA3F7E0039D4K" w:history="1">
        <w:r>
          <w:rPr>
            <w:sz w:val="28"/>
            <w:szCs w:val="28"/>
          </w:rPr>
          <w:t xml:space="preserve">Законом</w:t>
        </w:r>
      </w:hyperlink>
      <w:r>
        <w:rPr>
          <w:sz w:val="28"/>
          <w:szCs w:val="28"/>
        </w:rPr>
        <w:t xml:space="preserve"> Курской области от 21 сентября 2011г. № 74-ЗКО "О бесплатном предоставлении</w:t>
      </w:r>
      <w:r>
        <w:rPr>
          <w:sz w:val="28"/>
          <w:szCs w:val="28"/>
        </w:rPr>
        <w:t xml:space="preserve"> в собственность отдельным категориям граждан земельных участков на территории Курской области"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</w:t>
      </w:r>
      <w:r>
        <w:rPr>
          <w:sz w:val="28"/>
          <w:szCs w:val="28"/>
        </w:rPr>
        <w:t xml:space="preserve">детным семьям, семьям с детьми-инвалидами, семьям, лишившимся единственного жилого помещения в результате чрезвычайных ситуаций природного и техногенного характера. С 2023 года можно получить компенсацию взамен земельного участка в размере 200,0 тыс. руб.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2012 года реализуются такие меры поддержки семей с детьми и граждан из числа детей-сирот и детей, оставшихся без попечения родителей, как: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областной материнский капитал при рождении (усыновлении) третьего ребенка или последующих детей в размере 122756,93 руб.;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выплата семьям при одновременном рождении трех и более детей в размере 100,0 тыс. руб.;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выделение средств на ремонт жилых помещений гражданам из числа детей-сирот и детей, оставшихся без попечения родителей.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Комплекс вышеперечисленных мер обеспечивает повышение качества жизни семей с детьми, позволяет семьям с детьми ощутить существенную поддержку и заботу региональной власти.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в Курской области по итогам 2018 года характеризовалась следующими позитивными изменениями: рождаемость увеличилась на 4,3% (родилось</w:t>
      </w:r>
      <w:r>
        <w:rPr>
          <w:sz w:val="28"/>
          <w:szCs w:val="28"/>
        </w:rPr>
        <w:t xml:space="preserve"> на 476 чел. больше), при этом отмечено увеличение числа детей, родившихся в семье первыми, на 0,4%, вторыми - на 5,1%, третьими - на 14,3%, четвертыми и последующими - на 10,5%; смертность снизилась на 1,2% (умерло на 343 чел. меньше); естественная убыль </w:t>
      </w:r>
      <w:r>
        <w:rPr>
          <w:sz w:val="28"/>
          <w:szCs w:val="28"/>
        </w:rPr>
        <w:t xml:space="preserve">населения сократилась на 13,2% (или на 750 чел.); число разводов уменьшилось на 3,8%; миграционный прирост компенсировал естественная убыль населения на 56,0%.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Достигнутые позитивные изменения в демографическом развитии области являются результатом системной межведомственной работы по реализации единой государственной семейной и демографической политики.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Одним из мероприятий по оказанию семьям с детьми помощи на самых ранних этапах семейного неблагополучия является открытие в детских садах Горшеченского района групп социальной поддержки для детей из семей, находящихся в трудной жизненной ситуации.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целью повышения уровня межведомственного взаимодействия в решении проблем семьи и детей организуются новые формы работы, внедряются инновационные технологии.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районе под руководством заместителя Главы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по социальным вопросам действует комисс</w:t>
      </w:r>
      <w:r>
        <w:rPr>
          <w:sz w:val="28"/>
          <w:szCs w:val="28"/>
        </w:rPr>
        <w:t xml:space="preserve">ия по оказанию помощи семьям с детьми, находящимся в трудной жизненной ситуации и нуждающимся в социальной поддержке. Работа основана на внедрении технологии кураторства ситуации, организации сопровождения семьи, нуждающейся в помощи, до выхода из кризиса.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целью выявления признаков семейного и детского неблагополучия в районе проводятся межведомственные рейды, в результате которых около 60% несовершеннолетних, состоящих на профилактическом учете, вовлечены в деятельность кружков и секций.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занятости несовершеннолетних в летний период ежегодно около 80% детей, находящихся в социально опасном положении и трудной жизненной ситуации, вовлекаются во все формы труда и отдыха.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Специалистами системы проф</w:t>
      </w:r>
      <w:r>
        <w:rPr>
          <w:sz w:val="28"/>
          <w:szCs w:val="28"/>
        </w:rPr>
        <w:t xml:space="preserve">илактики осуществляются меры, направленные на формирование у населения здорового образа жизни, снижение уровня злоупотребления алкоголем, профилактику иных вредных привычек в семьях с детьми; обеспечение психологического и социального благополучия в семье.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Отдел социальной защиты, опеки и попечительства Администрации Горшеченского района Курской области совместно со специалистами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ОБУЗ "Горшеченская ЦРБ"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осуществляют профилактическую работу по предотвращению отказов от новорожденных.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Приоритетными направлениями в деятельности отдела</w:t>
      </w:r>
      <w:r>
        <w:rPr>
          <w:rFonts w:ascii="Times New Roman" w:hAnsi="Times New Roman"/>
          <w:sz w:val="28"/>
          <w:szCs w:val="28"/>
        </w:rPr>
        <w:t xml:space="preserve"> социальной защиты,</w:t>
      </w:r>
      <w:r>
        <w:rPr>
          <w:rFonts w:ascii="Times New Roman" w:hAnsi="Times New Roman"/>
          <w:sz w:val="28"/>
          <w:szCs w:val="28"/>
        </w:rPr>
        <w:t xml:space="preserve"> опеки и попечительства в районе является работа по профилактике детского и семейного неблагополучия и обеспечению семейного устройства детей-сирот и детей, оставшихся без попечения родителей.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Устройству детей-сирот и детей, оставшихся без попечения родителей, в семьи граждан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уделяется особое внимание. Эта работа осуществляется благодаря широкой пропаганде семейных форм устройства детей, оставшихся без попечения родителей, с активным привлечением общественности, средств массовой информации.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совместной деятельности органов исполнительной власти, местного самоуправления, общественности по профилактике социального </w:t>
      </w:r>
      <w:r>
        <w:rPr>
          <w:rFonts w:ascii="Times New Roman" w:hAnsi="Times New Roman"/>
          <w:sz w:val="28"/>
          <w:szCs w:val="28"/>
        </w:rPr>
        <w:t xml:space="preserve">сиротства в районе отмечается положительная динамика снижения числа детей-сирот и детей, оставшихся без попечения родителей.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районе усилилась работа по укреплению института семьи в обществе, пропаганде здорового образа жизни, был принят ряд норматив</w:t>
      </w:r>
      <w:r>
        <w:rPr>
          <w:rFonts w:ascii="Times New Roman" w:hAnsi="Times New Roman"/>
          <w:sz w:val="28"/>
          <w:szCs w:val="28"/>
        </w:rPr>
        <w:t xml:space="preserve">но-правовых актов, направленных на поддержку семей с детьми, формирование здорового образа жизни, развитие семейных форм устройства детей-сирот и детей, оставшихся без попечения родителей, а также регулирующих правоотношения в сфере опеки и попечительства.</w:t>
      </w:r>
      <w:r/>
    </w:p>
    <w:p>
      <w:pPr>
        <w:pStyle w:val="826"/>
        <w:ind w:firstLine="540"/>
        <w:jc w:val="both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важных направлений работы по развитию семейных форм устройства детей-сирот и детей, оставшихся без попечения родителей, является формирование и развитие института профессиональной замещающей семьи - приемной семьи.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Также, несмотря на определенные достигнутые позитивные результаты, нерешенным остается ряд проблем в семьях с детьми.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Сохраняется проблема бедности среди семей с детьми. Доля детей из семей с денежными доходами ниже величины прожиточного минимума в Курской области от общей численности детей, проживающих в Горшеченском районе, на 01.01.2024 составляла 44,8%.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многодетных семей и неполных семей характерны наивысшие уровни риска и глубины бедности.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Сохраняются неблагоприятные явления в области семейно-детских отношений.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Большинство (до 80% и более) выявляемых детей-сирот составляют дети, лишившиеся родительского попечения по "социальным" причинам. Остается высокой численность детей, родители которых лишены родительских прав или ограничены в родительских правах.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Актуальными остаются такие проблемы, как отказ от детей, принятых на воспитание в замещающие семьи, и возвращение их в детские дома, случаи жестокого обращения с приемными детьми.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Сохраняются, хотя и имеют тенденцию к снижению, некоторые иные проявления социального и физического небла</w:t>
      </w:r>
      <w:r>
        <w:rPr>
          <w:sz w:val="28"/>
          <w:szCs w:val="28"/>
        </w:rPr>
        <w:t xml:space="preserve">гополучия в семьях с детьми - младенческая смертность, детская инвалидность и др. Сокращение масштабов и уровней их проявления предполагает необходимость осуществления дополнительных мер правового и организационного характера, в том числе профилактических.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 и др.), в том числе в рамках реализации настоящей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29" w:name="Par1211"/>
      <w:r/>
      <w:bookmarkEnd w:id="29"/>
      <w:r>
        <w:rPr>
          <w:b/>
          <w:sz w:val="28"/>
          <w:szCs w:val="28"/>
        </w:rPr>
        <w:t xml:space="preserve">II. Приоритеты, цели и задачи муниципальной политики, в том числе общие требования в сфере реализации Подпрограммы 3 "Улучшение демографической ситуации, совершенствование социальной поддержки семьи и детей" на 2024-2026 годы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Основными приоритетами направления муниципальной политики в отношении социальной поддержки семьи и детей определены следующие: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рождаемости (в том числе за счет рождения в семьях </w:t>
      </w:r>
      <w:r>
        <w:rPr>
          <w:sz w:val="28"/>
          <w:szCs w:val="28"/>
        </w:rPr>
        <w:t xml:space="preserve">второго и последующих детей):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укрепление института семьи, возрождение и сохранение духовно-нравственных традиций семейных отношений, семейного воспитания;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развитие системы поддержки семьи в связи с рождением и воспитанием детей, обеспечение государственной материальной поддержки семей, имеющих детей;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поддержка семей, принимающих на воспитание детей, оставшихся без попечения родителей, профилактика семейного неблагополучия и социального сиротства, обеспечение защиты прав и законных интересов детей.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Указанные приоритеты направлены на преодоление негативных демографических тенденций, стабилизацию численности населения и создание условий для ее роста, повышение качества жизни населения.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учетом указанных приоритетов определены цели Подпрограммы 3 "Улучшение демографической ситуации, совершенствование социальной поддержки семьи и детей" на 2024-2026 годы: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улучшение демографической ситуации;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социальной и экономической устойчивости семьи.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Подпрограммы 3 "Улучшение демографической ситуации, совершенствование социальной поддержки семьи и детей" на 2024-2026 годы предстоит обеспечить решение следующих задач: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повышение качества жизни семей с детьми;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снижение уровня семейного неблагополучия, беспризорности и безнадзорности, социального сиротства;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стимулирование рождаемости.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30" w:name="Par1281"/>
      <w:r/>
      <w:bookmarkEnd w:id="30"/>
      <w:r>
        <w:rPr>
          <w:b/>
          <w:sz w:val="28"/>
          <w:szCs w:val="28"/>
        </w:rPr>
        <w:t xml:space="preserve">III. Перечень и характеристика основных мероприятий Подпрограммы 3</w:t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"Улучшение демографической ситуации, совершенствование социальной поддержки семьи и детей" на 2024-2026 годы. Сроки, этапы реализации и ожидаемые конечные результаты подпрограммы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цели и решения задач Подпрограммы 3 "Улучшение демографической ситуации, совершенствование социальной поддержки семьи и детей"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2024-2026 годы будут реализовываться следующие основные мероприятия: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деятельности, связанной с осуществлением переданных полномочий по организации и осуществлению деятельности по опеке и попечительству;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Оказание мер социальной поддержки детям-сиротам и детям, оставшимся без попечения родителей, лицам из числа указанной категории детей, а также гражданам, желающим взять детей на воспитание в семью;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обеспечение реализации отдельных мероприятий, направленных на улучшение демографической ситуации, совершенствования социальной поддержки семьи и детей.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Ожидаемыми непосредственными результатами реализации основных мероприятий данной подпрограммы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организация осуществления государственных выплат и пособий гражданам, имеющим детей, детям-сиротам и детям, оставшимся без попечения </w:t>
      </w:r>
      <w:r>
        <w:rPr>
          <w:sz w:val="28"/>
          <w:szCs w:val="28"/>
        </w:rPr>
        <w:t xml:space="preserve">родителей;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обеспечение реализации комплекса мер, направленных на улучшение демографической ситуации в Горшеченском районе;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преодоление негативных демографических тенденций, стабилизация численности населения и создание условий для ее роста;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комплексных мероприятий, направленных на повышение эффективности реабилитационной работы с несовершеннолетними детьми, находящимися в трудной жизненной ситуации;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организация занятости и досуга детей и подростков, адресная социальная поддержка детей, находящихся в трудной жизненной ситуации;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мероприятий, направленных на развитие и укрепление института семьи, в том числе проведение мероприятия, посвященного Дню семьи, любви и верности, награждение орденом "Родительская слава".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Исполнителями вышеперечисленных мероприятий выступают: Отдел опеки и попечительства Администрации Горшеченского района Курской области, Отдел социальной з</w:t>
      </w:r>
      <w:r>
        <w:rPr>
          <w:sz w:val="28"/>
          <w:szCs w:val="28"/>
        </w:rPr>
        <w:t xml:space="preserve">ащиты населения Администрации Горшеченского района Курской области, Отдел образования Администрации Горшеченского района Курской области; Отдел по вопросам культуры, молодежи, физической культуры и спорта Администрации Горшеченского района Курской области.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Подпрограммы 3 "Улучшение демографической ситуации, совершенствование социальной поддержки семьи и детей" - 2024 - 2026 годы, в один этап.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3 "Улучшение демографической ситуации, совершенствование социальной поддержки семьи и детей"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2024-2026 годы увязаны с такими показателями подпрограммы, как: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суммарный коэффициент рождаемости;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доля детей из семей с денежными доходами ниже величины прожиточного минимума в Курской области от общей численности детей, проживающих в районе;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доля детей, оставшихся без попечения родителей, - всего, в том числе переданных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родственникам (в приемные семьи, на усыновление (удочерение), под опеку (попечительство)),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Последствиями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основных мероприятий могут стать: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недостаточная эффективность реабилитационной работы с несовершеннолетними, отсутствие организации занятости и досуга детей и подростков, адресной социальной поддержки детей, находящихся в трудной жизненной ситуации;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снижение уровня социальной защищенности несовершеннолетних и семей с детьми, увеличение количества семей, находящихся в трудной жизненной ситуации, социально опасном положении;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уменьшение числа рождений вторых, третьих и последующих детей у матери;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уменьшение доли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- рост социальной напряженности, увеличение доли детей из семей с денежными доходами ниже величины прожиточного минимума в Курской области от общей численности детей, проживающих в Горшеченском районе.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264" w:anchor="Par2264" w:history="1">
        <w:r>
          <w:rPr>
            <w:sz w:val="28"/>
            <w:szCs w:val="28"/>
          </w:rPr>
          <w:t xml:space="preserve">Перечень</w:t>
        </w:r>
      </w:hyperlink>
      <w:r>
        <w:rPr>
          <w:sz w:val="28"/>
          <w:szCs w:val="28"/>
        </w:rPr>
        <w:t xml:space="preserve"> основных мероприятий Подпрограммы 3 "Улучшение демографической ситуации, совершенствование социальной поддержки семьи и детей" на 2024-2026 годы приведен в приложении № 2 к настоящей Программе.</w:t>
      </w:r>
      <w:bookmarkStart w:id="31" w:name="Par1320"/>
      <w:r/>
      <w:bookmarkEnd w:id="31"/>
      <w:r/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IV. Основные меры правового регулирования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рамках Подпрограммы 3 "Улучшение демографической ситуации,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совершенствование социальной поддержки семьи и детей"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2024-2026 годы</w:t>
      </w:r>
      <w:r/>
    </w:p>
    <w:p>
      <w:pPr>
        <w:ind w:firstLine="540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цели Подпрограммы 3 "Улучшение демографической ситуации, совершенствование социальной поддержки семьи и детей" на 2024-2026 годы использование мер правового регулирования не предполагается.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</w:pPr>
      <w:r/>
      <w:bookmarkStart w:id="32" w:name="Par1326"/>
      <w:r/>
      <w:bookmarkEnd w:id="32"/>
      <w:r>
        <w:rPr>
          <w:b/>
          <w:sz w:val="28"/>
          <w:szCs w:val="28"/>
        </w:rPr>
        <w:t xml:space="preserve">V. </w:t>
      </w:r>
      <w:bookmarkStart w:id="33" w:name="Par1351"/>
      <w:r/>
      <w:bookmarkEnd w:id="33"/>
      <w:r>
        <w:rPr>
          <w:b/>
          <w:sz w:val="28"/>
          <w:szCs w:val="28"/>
        </w:rPr>
        <w:t xml:space="preserve">Целевые индикаторы и показатели достижения целей и решения задач 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"Улучшение демографической ситуации, совершенствование социальной поддержки семьи и детей"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b/>
          <w:sz w:val="28"/>
          <w:szCs w:val="28"/>
        </w:rPr>
        <w:t xml:space="preserve"> на 2024-2026 годы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Целевыми индикаторами и показателями подпрограммы являются: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1) Суммарный коэффициент рождаемости.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позволяет определить среднее количество детей, которое может быть рождено одной женщиной на протяжении всего репродуктивного периода при сохранении повозрастной рождаемости в календарном году.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2026 году предполагается обеспечить повышение суммарного коэффициента рождаемости до 1,753.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Данный показатель позволяет в интегрированном виде в динамике, на основе данных официальной статистической отчетности, оценивать результаты реализации комплекса</w:t>
      </w:r>
      <w:r>
        <w:rPr>
          <w:sz w:val="28"/>
          <w:szCs w:val="28"/>
        </w:rPr>
        <w:t xml:space="preserve"> мероприятий, направленных на повышение уровня и качества жизни семей с детьми, создание благоприятных условий для развития и воспитания детей, предупреждения социального неблагополучия и социального сиротства, достижение цели и решения задач подпрограммы.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Повышение значений показателя обеспечивается за счет реализации в районе мероприятий по стимулированию многодетности, финансируемых из областного и муниципального бюджетов.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Исходная информация для расчета данного показателя</w:t>
      </w:r>
      <w:r>
        <w:rPr>
          <w:sz w:val="28"/>
          <w:szCs w:val="28"/>
        </w:rPr>
        <w:t xml:space="preserve"> разрабатывается ежегодно федеральным органом исполнительной власти, 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Курской области.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2) Доля детей из семей с денежными доходами ниже величины прожиточного минимума в Курской области от общей численности детей, проживающих в Горшеченском районе.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характеризует уровень бедности детей в отчетном году в Горшеченском районе.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Показатель позволяет в динамике оценивать результаты </w:t>
      </w:r>
      <w:r>
        <w:rPr>
          <w:sz w:val="28"/>
          <w:szCs w:val="28"/>
        </w:rPr>
        <w:t xml:space="preserve">реализации мероприятий, проводимых в районе, направленных на снижение уровня бедности детей.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Определяется как отношение численности детей из семей с денежными доходами ниже величины прожиточного минимума в Курской области в отчетном году, к общей численности детей, проживающих в районе в отчетном году.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Снижение значений показателя в период реализации Программы обеспечива</w:t>
      </w:r>
      <w:r>
        <w:rPr>
          <w:sz w:val="28"/>
          <w:szCs w:val="28"/>
        </w:rPr>
        <w:t xml:space="preserve">ется за счет реализации в районе мероприятий, направленных на повышение уровня социально-экономического развития района, мероприятий по материальной поддержке малообеспеченных групп населения, в том числе в рамках индексации социальных выплат, реализации а</w:t>
      </w:r>
      <w:r>
        <w:rPr>
          <w:sz w:val="28"/>
          <w:szCs w:val="28"/>
        </w:rPr>
        <w:t xml:space="preserve">дресной социальной поддержки, дополнительной социальной помощи отдельным категориям граждан за счет областного бюджета, а также организации выплаты и индексации с учетом инфляции государственных пособий, выплачиваемых семьям с детьми из областного бюджета.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определяется по формуле: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B / A x 100%, где: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A - общая численность детей, проживающих в Горшеченском районе в отчетном году, человек;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B - численность детей из семей с денежными доходами ниже величины прожиточного минимума в районе в отчетном году, человек.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рассчитывается ежегодно из расчета количества несовершеннолетних, на которых осуществляется выплата ежемесячного пособия на ребенка, к общему числу несовершеннолетних, проживающих в районе.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3) Доля детей, оставшихся без попечения родителей, - всего, в том числе переданных</w:t>
      </w:r>
      <w:r>
        <w:rPr>
          <w:sz w:val="28"/>
          <w:szCs w:val="28"/>
        </w:rPr>
        <w:t xml:space="preserve"> не родственникам (в приемные семьи, на усыновление (удочерение), под опеку (попечительство)),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районе в отчетном году.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Показатель рассчитывается по формуле: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(1 - Д / Ч) x 100, где: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 - общая </w:t>
      </w:r>
      <w:r>
        <w:rPr>
          <w:sz w:val="28"/>
          <w:szCs w:val="28"/>
        </w:rPr>
        <w:t xml:space="preserve">численность детей, оставшихся без попечения родителей, выявленных и учтенных на конец отчетного года. Данные показываются о всех детях, оставшихся без попечения родителей, которые состоят на учете в органах опеки и попечительства (в том числе переданных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родственникам (в приемные семьи, под опеку (попечительство), в семейные детские дома и патронатные семьи), находящихся в государственных (муниципальных) учреждениях всех типов);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Ч - численность населения возраста от 0 до 17 лет (включительно) по состоянию на 31 декабря отчетного года.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/>
      <w:hyperlink w:tooltip="#Par2015" w:anchor="Par2015" w:history="1">
        <w:r>
          <w:rPr>
            <w:sz w:val="28"/>
            <w:szCs w:val="28"/>
          </w:rPr>
          <w:t xml:space="preserve">Сведения</w:t>
        </w:r>
      </w:hyperlink>
      <w:r>
        <w:rPr>
          <w:sz w:val="28"/>
          <w:szCs w:val="28"/>
        </w:rPr>
        <w:t xml:space="preserve"> о показателях (индикаторах) подпрограммы 3 "Улучшение демографической ситуации, совершенствование социальной поддержки семьи и детей" на 2024-2026 годы и их значениях указываются в приложении № 1 к настоящей Программе.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3 "Улучшение демографической ситуации, совершенствование социальной поддержки семьи и детей" на 2024-2026 годы будет способствовать достижению следующих ожидаемых результатов реализации подпрограммы: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жизни семей с детьми;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достижение к 2024 году 74% доли детей, оставшихся без попечения родителей, - всего, в том числе переданных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родственникам (в приемные семьи, на усыновление (удочерение), под опеку (попечительство)),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повышение суммарного коэффициента рождаемости к 2024 году до 1,564.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VI. Финансовое обеспечение Подпрограммы 3 "Улучшение демографической ситуации, совершенствование социальной поддержки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семьи и детей" на 2024-2026 годы</w:t>
      </w:r>
      <w:r/>
    </w:p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6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Объемы ресурсного</w:t>
      </w:r>
      <w:hyperlink w:tooltip="#Par3328" w:anchor="Par3328" w:history="1">
        <w:r>
          <w:rPr>
            <w:sz w:val="28"/>
            <w:szCs w:val="28"/>
          </w:rPr>
          <w:t xml:space="preserve"> обеспечени</w:t>
        </w:r>
      </w:hyperlink>
      <w:r>
        <w:rPr>
          <w:sz w:val="28"/>
          <w:szCs w:val="28"/>
        </w:rPr>
        <w:t xml:space="preserve">я реализации Подпрограммы 3 "Улучшение демографической ситуации, совершенствование социальной поддержки семьи и детей" на 2024-2026 годы за счет средств областного и муниципального бюджета приведены в приложении № 4 к муниципальной Программе.</w:t>
      </w:r>
      <w:r/>
    </w:p>
    <w:p>
      <w:pPr>
        <w:ind w:firstLine="680"/>
        <w:jc w:val="both"/>
        <w:keepLines/>
        <w:keepNext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 w:val="off"/>
        <w:rPr>
          <w:b/>
          <w:sz w:val="28"/>
          <w:szCs w:val="28"/>
        </w:rPr>
        <w:outlineLvl w:val="2"/>
      </w:pPr>
      <w:r/>
      <w:bookmarkStart w:id="34" w:name="Par1370"/>
      <w:r/>
      <w:bookmarkEnd w:id="34"/>
      <w:r>
        <w:rPr>
          <w:b/>
          <w:sz w:val="28"/>
          <w:szCs w:val="28"/>
          <w:lang w:val="en-US"/>
        </w:rPr>
        <w:t xml:space="preserve">VII</w:t>
      </w:r>
      <w:r>
        <w:rPr>
          <w:b/>
          <w:sz w:val="28"/>
          <w:szCs w:val="28"/>
        </w:rPr>
        <w:t xml:space="preserve">. Анализ рисков реализации Подпрограммы 3 "Улучшение демографической ситуации, совершенствование социальной поддержки семьи и детей"на 2024-2026 годы </w:t>
      </w:r>
      <w:r/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учетом цели, задач и мероприятий Подпрограммы 3 "Улучшение демографической ситуации, совершенствование социальной поддержки семьи и детей"на 2024-2026 годы Программы будут учитываться, в первую очередь, финансовые и информационные риски.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Финансовые риски 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и муниципального бюджета. 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 целью управления информационными рисками в ходе реализации Программы будет проводиться работа, направленная на мониторинг и оценку исполнения целевых показателей (индикаторов) Программы, выявление </w:t>
      </w:r>
      <w:r>
        <w:rPr>
          <w:sz w:val="28"/>
          <w:szCs w:val="28"/>
        </w:rPr>
        <w:t xml:space="preserve">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Подпрограммы 3 "Улучшение демографической ситуации, совершенствование социальной поддержки семьи и детей"н</w:t>
      </w:r>
      <w:r>
        <w:rPr>
          <w:sz w:val="28"/>
          <w:szCs w:val="28"/>
        </w:rPr>
        <w:t xml:space="preserve">а 2024-2026 годы Программы будет ежегодно производиться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оценке эффективности Подпрограммы 3 "Улучшение демографической ситуации, совершенствование социальной поддержки семьи и детей"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2024-2026 годы Программы будут сравниваться текущие значения целевых индикаторов, определяемые на основе анализа данных государственных статистических и ведомственных отраслевых форм отчетности, с установленными Программой значениями на 2024 - 2026 годы (</w:t>
      </w:r>
      <w:hyperlink w:tooltip="#Par2015" w:anchor="Par2015" w:history="1">
        <w:r>
          <w:rPr>
            <w:sz w:val="28"/>
            <w:szCs w:val="28"/>
          </w:rPr>
          <w:t xml:space="preserve">приложение № 1</w:t>
        </w:r>
      </w:hyperlink>
      <w:r>
        <w:rPr>
          <w:sz w:val="28"/>
          <w:szCs w:val="28"/>
        </w:rPr>
        <w:t xml:space="preserve"> к Программе).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Анализ рисков, описание мер управления рисками, методика оценки эффективности приведены в общей части Программы.</w:t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ndale Sans UI">
    <w:panose1 w:val="020B050602020203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360"/>
        <w:tabs>
          <w:tab w:val="num" w:pos="8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560" w:hanging="360"/>
        <w:tabs>
          <w:tab w:val="num" w:pos="15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280" w:hanging="180"/>
        <w:tabs>
          <w:tab w:val="num" w:pos="22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00" w:hanging="360"/>
        <w:tabs>
          <w:tab w:val="num" w:pos="30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20" w:hanging="360"/>
        <w:tabs>
          <w:tab w:val="num" w:pos="37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440" w:hanging="180"/>
        <w:tabs>
          <w:tab w:val="num" w:pos="44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160" w:hanging="360"/>
        <w:tabs>
          <w:tab w:val="num" w:pos="51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880" w:hanging="360"/>
        <w:tabs>
          <w:tab w:val="num" w:pos="58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00" w:hanging="180"/>
        <w:tabs>
          <w:tab w:val="num" w:pos="6600" w:leader="none"/>
        </w:tabs>
      </w:pPr>
    </w:lvl>
  </w:abstractNum>
  <w:abstractNum w:abstractNumId="1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 w:default="1">
    <w:name w:val="Normal"/>
    <w:qFormat/>
  </w:style>
  <w:style w:type="character" w:styleId="639" w:default="1">
    <w:name w:val="Default Paragraph Font"/>
    <w:uiPriority w:val="1"/>
    <w:semiHidden/>
    <w:unhideWhenUsed/>
  </w:style>
  <w:style w:type="table" w:styleId="64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1" w:default="1">
    <w:name w:val="No List"/>
    <w:uiPriority w:val="99"/>
    <w:semiHidden/>
    <w:unhideWhenUsed/>
  </w:style>
  <w:style w:type="paragraph" w:styleId="642">
    <w:name w:val="List Paragraph"/>
    <w:pPr>
      <w:contextualSpacing w:val="true"/>
      <w:ind w:left="720"/>
    </w:pPr>
  </w:style>
  <w:style w:type="paragraph" w:styleId="643">
    <w:name w:val="No Spacing"/>
  </w:style>
  <w:style w:type="paragraph" w:styleId="644">
    <w:name w:val="Title"/>
    <w:link w:val="689"/>
    <w:rPr>
      <w:sz w:val="48"/>
      <w:szCs w:val="48"/>
    </w:rPr>
    <w:pPr>
      <w:contextualSpacing w:val="true"/>
      <w:spacing w:after="200" w:before="300"/>
    </w:pPr>
  </w:style>
  <w:style w:type="character" w:styleId="645" w:customStyle="1">
    <w:name w:val="Title Char"/>
    <w:link w:val="644"/>
    <w:uiPriority w:val="10"/>
    <w:rPr>
      <w:sz w:val="48"/>
      <w:szCs w:val="48"/>
    </w:rPr>
  </w:style>
  <w:style w:type="paragraph" w:styleId="646">
    <w:name w:val="Subtitle"/>
    <w:link w:val="690"/>
    <w:rPr>
      <w:sz w:val="24"/>
      <w:szCs w:val="24"/>
    </w:rPr>
    <w:pPr>
      <w:spacing w:after="200" w:before="200"/>
    </w:pPr>
  </w:style>
  <w:style w:type="character" w:styleId="647" w:customStyle="1">
    <w:name w:val="Subtitle Char"/>
    <w:link w:val="646"/>
    <w:uiPriority w:val="11"/>
    <w:rPr>
      <w:sz w:val="24"/>
      <w:szCs w:val="24"/>
    </w:rPr>
  </w:style>
  <w:style w:type="paragraph" w:styleId="648">
    <w:name w:val="Quote"/>
    <w:link w:val="691"/>
    <w:rPr>
      <w:i/>
    </w:rPr>
    <w:pPr>
      <w:ind w:left="720" w:right="720"/>
    </w:pPr>
  </w:style>
  <w:style w:type="character" w:styleId="649" w:customStyle="1">
    <w:name w:val="Quote Char"/>
    <w:link w:val="648"/>
    <w:uiPriority w:val="29"/>
    <w:rPr>
      <w:i/>
    </w:rPr>
  </w:style>
  <w:style w:type="paragraph" w:styleId="650">
    <w:name w:val="Intense Quote"/>
    <w:link w:val="692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1" w:customStyle="1">
    <w:name w:val="Intense Quote Char"/>
    <w:link w:val="650"/>
    <w:uiPriority w:val="30"/>
    <w:rPr>
      <w:i/>
    </w:rPr>
  </w:style>
  <w:style w:type="table" w:styleId="652">
    <w:name w:val="Table Grid"/>
    <w:basedOn w:val="64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character" w:styleId="653">
    <w:name w:val="Hyperlink"/>
    <w:rPr>
      <w:color w:val="0000FF"/>
      <w:u w:val="single"/>
    </w:rPr>
  </w:style>
  <w:style w:type="paragraph" w:styleId="654">
    <w:name w:val="footnote text"/>
    <w:link w:val="824"/>
    <w:semiHidden/>
    <w:rPr>
      <w:sz w:val="18"/>
    </w:rPr>
    <w:pPr>
      <w:spacing w:after="40"/>
    </w:pPr>
  </w:style>
  <w:style w:type="character" w:styleId="655" w:customStyle="1">
    <w:name w:val="Footnote Text Char"/>
    <w:link w:val="654"/>
    <w:uiPriority w:val="99"/>
    <w:rPr>
      <w:sz w:val="18"/>
    </w:rPr>
  </w:style>
  <w:style w:type="character" w:styleId="656">
    <w:name w:val="footnote reference"/>
    <w:rPr>
      <w:vertAlign w:val="superscript"/>
    </w:rPr>
  </w:style>
  <w:style w:type="paragraph" w:styleId="657">
    <w:name w:val="endnote text"/>
    <w:link w:val="825"/>
    <w:semiHidden/>
  </w:style>
  <w:style w:type="character" w:styleId="658" w:customStyle="1">
    <w:name w:val="Endnote Text Char"/>
    <w:link w:val="657"/>
    <w:uiPriority w:val="99"/>
    <w:rPr>
      <w:sz w:val="20"/>
    </w:rPr>
  </w:style>
  <w:style w:type="character" w:styleId="659">
    <w:name w:val="endnote reference"/>
    <w:semiHidden/>
    <w:rPr>
      <w:vertAlign w:val="superscript"/>
    </w:rPr>
  </w:style>
  <w:style w:type="paragraph" w:styleId="660">
    <w:name w:val="toc 1"/>
    <w:pPr>
      <w:spacing w:after="57"/>
    </w:pPr>
  </w:style>
  <w:style w:type="paragraph" w:styleId="661">
    <w:name w:val="toc 2"/>
    <w:pPr>
      <w:ind w:left="283"/>
      <w:spacing w:after="57"/>
    </w:pPr>
  </w:style>
  <w:style w:type="paragraph" w:styleId="662">
    <w:name w:val="toc 3"/>
    <w:pPr>
      <w:ind w:left="567"/>
      <w:spacing w:after="57"/>
    </w:pPr>
  </w:style>
  <w:style w:type="paragraph" w:styleId="663">
    <w:name w:val="toc 4"/>
    <w:pPr>
      <w:ind w:left="850"/>
      <w:spacing w:after="57"/>
    </w:pPr>
  </w:style>
  <w:style w:type="paragraph" w:styleId="664">
    <w:name w:val="toc 5"/>
    <w:pPr>
      <w:ind w:left="1134"/>
      <w:spacing w:after="57"/>
    </w:pPr>
  </w:style>
  <w:style w:type="paragraph" w:styleId="665">
    <w:name w:val="toc 6"/>
    <w:pPr>
      <w:ind w:left="1417"/>
      <w:spacing w:after="57"/>
    </w:pPr>
  </w:style>
  <w:style w:type="paragraph" w:styleId="666">
    <w:name w:val="toc 7"/>
    <w:pPr>
      <w:ind w:left="1701"/>
      <w:spacing w:after="57"/>
    </w:pPr>
  </w:style>
  <w:style w:type="paragraph" w:styleId="667">
    <w:name w:val="toc 8"/>
    <w:pPr>
      <w:ind w:left="1984"/>
      <w:spacing w:after="57"/>
    </w:pPr>
  </w:style>
  <w:style w:type="paragraph" w:styleId="668">
    <w:name w:val="toc 9"/>
    <w:pPr>
      <w:ind w:left="2268"/>
      <w:spacing w:after="57"/>
    </w:pPr>
  </w:style>
  <w:style w:type="paragraph" w:styleId="669">
    <w:name w:val="TOC Heading"/>
  </w:style>
  <w:style w:type="paragraph" w:styleId="670">
    <w:name w:val="table of figures"/>
  </w:style>
  <w:style w:type="paragraph" w:styleId="671" w:customStyle="1">
    <w:name w:val="Heading 1"/>
    <w:link w:val="672"/>
    <w:rPr>
      <w:rFonts w:ascii="Arial" w:hAnsi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72" w:customStyle="1">
    <w:name w:val="Heading 1 Char"/>
    <w:link w:val="671"/>
    <w:rPr>
      <w:rFonts w:ascii="Arial" w:hAnsi="Arial" w:eastAsia="Arial"/>
      <w:sz w:val="40"/>
      <w:szCs w:val="40"/>
      <w:lang w:bidi="ar-SA"/>
    </w:rPr>
  </w:style>
  <w:style w:type="paragraph" w:styleId="673" w:customStyle="1">
    <w:name w:val="Heading 2"/>
    <w:link w:val="674"/>
    <w:rPr>
      <w:rFonts w:ascii="Arial" w:hAnsi="Arial" w:eastAsia="Arial"/>
      <w:sz w:val="34"/>
    </w:rPr>
    <w:pPr>
      <w:keepLines/>
      <w:keepNext/>
      <w:spacing w:after="200" w:before="360"/>
      <w:outlineLvl w:val="1"/>
    </w:pPr>
  </w:style>
  <w:style w:type="character" w:styleId="674" w:customStyle="1">
    <w:name w:val="Heading 2 Char"/>
    <w:link w:val="673"/>
    <w:rPr>
      <w:rFonts w:ascii="Arial" w:hAnsi="Arial" w:eastAsia="Arial"/>
      <w:sz w:val="34"/>
      <w:lang w:bidi="ar-SA"/>
    </w:rPr>
  </w:style>
  <w:style w:type="paragraph" w:styleId="675" w:customStyle="1">
    <w:name w:val="Heading 3"/>
    <w:link w:val="676"/>
    <w:rPr>
      <w:rFonts w:ascii="Arial" w:hAnsi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76" w:customStyle="1">
    <w:name w:val="Heading 3 Char"/>
    <w:link w:val="675"/>
    <w:rPr>
      <w:rFonts w:ascii="Arial" w:hAnsi="Arial" w:eastAsia="Arial"/>
      <w:sz w:val="30"/>
      <w:szCs w:val="30"/>
      <w:lang w:bidi="ar-SA"/>
    </w:rPr>
  </w:style>
  <w:style w:type="paragraph" w:styleId="677" w:customStyle="1">
    <w:name w:val="Heading 4"/>
    <w:link w:val="678"/>
    <w:rPr>
      <w:rFonts w:ascii="Arial" w:hAnsi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78" w:customStyle="1">
    <w:name w:val="Heading 4 Char"/>
    <w:link w:val="677"/>
    <w:rPr>
      <w:rFonts w:ascii="Arial" w:hAnsi="Arial" w:eastAsia="Arial"/>
      <w:b/>
      <w:bCs/>
      <w:sz w:val="26"/>
      <w:szCs w:val="26"/>
      <w:lang w:bidi="ar-SA"/>
    </w:rPr>
  </w:style>
  <w:style w:type="paragraph" w:styleId="679" w:customStyle="1">
    <w:name w:val="Heading 5"/>
    <w:link w:val="680"/>
    <w:rPr>
      <w:rFonts w:ascii="Arial" w:hAnsi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80" w:customStyle="1">
    <w:name w:val="Heading 5 Char"/>
    <w:link w:val="679"/>
    <w:rPr>
      <w:rFonts w:ascii="Arial" w:hAnsi="Arial" w:eastAsia="Arial"/>
      <w:b/>
      <w:bCs/>
      <w:sz w:val="24"/>
      <w:szCs w:val="24"/>
      <w:lang w:bidi="ar-SA"/>
    </w:rPr>
  </w:style>
  <w:style w:type="paragraph" w:styleId="681" w:customStyle="1">
    <w:name w:val="Heading 6"/>
    <w:link w:val="682"/>
    <w:rPr>
      <w:rFonts w:ascii="Arial" w:hAnsi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82" w:customStyle="1">
    <w:name w:val="Heading 6 Char"/>
    <w:link w:val="681"/>
    <w:rPr>
      <w:rFonts w:ascii="Arial" w:hAnsi="Arial" w:eastAsia="Arial"/>
      <w:b/>
      <w:bCs/>
      <w:sz w:val="22"/>
      <w:szCs w:val="22"/>
      <w:lang w:bidi="ar-SA"/>
    </w:rPr>
  </w:style>
  <w:style w:type="paragraph" w:styleId="683" w:customStyle="1">
    <w:name w:val="Heading 7"/>
    <w:link w:val="684"/>
    <w:rPr>
      <w:rFonts w:ascii="Arial" w:hAnsi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84" w:customStyle="1">
    <w:name w:val="Heading 7 Char"/>
    <w:link w:val="683"/>
    <w:rPr>
      <w:rFonts w:ascii="Arial" w:hAnsi="Arial" w:eastAsia="Arial"/>
      <w:b/>
      <w:bCs/>
      <w:i/>
      <w:iCs/>
      <w:sz w:val="22"/>
      <w:szCs w:val="22"/>
      <w:lang w:bidi="ar-SA"/>
    </w:rPr>
  </w:style>
  <w:style w:type="paragraph" w:styleId="685" w:customStyle="1">
    <w:name w:val="Heading 8"/>
    <w:link w:val="686"/>
    <w:rPr>
      <w:rFonts w:ascii="Arial" w:hAnsi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86" w:customStyle="1">
    <w:name w:val="Heading 8 Char"/>
    <w:link w:val="685"/>
    <w:rPr>
      <w:rFonts w:ascii="Arial" w:hAnsi="Arial" w:eastAsia="Arial"/>
      <w:i/>
      <w:iCs/>
      <w:sz w:val="22"/>
      <w:szCs w:val="22"/>
      <w:lang w:bidi="ar-SA"/>
    </w:rPr>
  </w:style>
  <w:style w:type="paragraph" w:styleId="687" w:customStyle="1">
    <w:name w:val="Heading 9"/>
    <w:link w:val="688"/>
    <w:rPr>
      <w:rFonts w:ascii="Arial" w:hAnsi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88" w:customStyle="1">
    <w:name w:val="Heading 9 Char"/>
    <w:link w:val="687"/>
    <w:rPr>
      <w:rFonts w:ascii="Arial" w:hAnsi="Arial" w:eastAsia="Arial"/>
      <w:i/>
      <w:iCs/>
      <w:sz w:val="21"/>
      <w:szCs w:val="21"/>
      <w:lang w:bidi="ar-SA"/>
    </w:rPr>
  </w:style>
  <w:style w:type="character" w:styleId="689" w:customStyle="1">
    <w:name w:val="Название Знак"/>
    <w:link w:val="644"/>
    <w:rPr>
      <w:sz w:val="48"/>
      <w:szCs w:val="48"/>
      <w:lang w:bidi="ar-SA"/>
    </w:rPr>
  </w:style>
  <w:style w:type="character" w:styleId="690" w:customStyle="1">
    <w:name w:val="Подзаголовок Знак"/>
    <w:link w:val="646"/>
    <w:rPr>
      <w:sz w:val="24"/>
      <w:szCs w:val="24"/>
      <w:lang w:bidi="ar-SA"/>
    </w:rPr>
  </w:style>
  <w:style w:type="character" w:styleId="691" w:customStyle="1">
    <w:name w:val="Цитата 2 Знак"/>
    <w:link w:val="648"/>
    <w:rPr>
      <w:i/>
      <w:lang w:val="ru-RU" w:bidi="ar-SA" w:eastAsia="zh-CN"/>
    </w:rPr>
  </w:style>
  <w:style w:type="character" w:styleId="692" w:customStyle="1">
    <w:name w:val="Выделенная цитата Знак"/>
    <w:link w:val="650"/>
    <w:rPr>
      <w:i/>
      <w:shd w:val="clear" w:fill="F2F2F2" w:color="auto"/>
      <w:lang w:val="ru-RU" w:bidi="ar-SA" w:eastAsia="zh-CN"/>
    </w:rPr>
  </w:style>
  <w:style w:type="paragraph" w:styleId="693" w:customStyle="1">
    <w:name w:val="Header"/>
    <w:link w:val="694"/>
    <w:pPr>
      <w:tabs>
        <w:tab w:val="center" w:pos="7143" w:leader="none"/>
        <w:tab w:val="right" w:pos="14287" w:leader="none"/>
      </w:tabs>
    </w:pPr>
  </w:style>
  <w:style w:type="character" w:styleId="694" w:customStyle="1">
    <w:name w:val="Header Char"/>
    <w:link w:val="693"/>
    <w:rPr>
      <w:lang w:val="ru-RU" w:bidi="ar-SA" w:eastAsia="zh-CN"/>
    </w:rPr>
  </w:style>
  <w:style w:type="paragraph" w:styleId="695" w:customStyle="1">
    <w:name w:val="Footer"/>
    <w:link w:val="698"/>
    <w:pPr>
      <w:tabs>
        <w:tab w:val="center" w:pos="7143" w:leader="none"/>
        <w:tab w:val="right" w:pos="14287" w:leader="none"/>
      </w:tabs>
    </w:pPr>
  </w:style>
  <w:style w:type="character" w:styleId="696" w:customStyle="1">
    <w:name w:val="Footer Char"/>
  </w:style>
  <w:style w:type="paragraph" w:styleId="697" w:customStyle="1">
    <w:name w:val="Caption"/>
    <w:semiHidden/>
    <w:rPr>
      <w:b/>
      <w:bCs/>
      <w:color w:val="4F81BD"/>
      <w:sz w:val="18"/>
      <w:szCs w:val="18"/>
    </w:rPr>
    <w:pPr>
      <w:spacing w:lineRule="auto" w:line="276"/>
    </w:pPr>
  </w:style>
  <w:style w:type="character" w:styleId="698" w:customStyle="1">
    <w:name w:val="Caption Char"/>
    <w:link w:val="695"/>
    <w:rPr>
      <w:lang w:val="ru-RU" w:bidi="ar-SA" w:eastAsia="zh-CN"/>
    </w:rPr>
  </w:style>
  <w:style w:type="table" w:styleId="699" w:customStyle="1">
    <w:name w:val="Table Grid Light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Plain Table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Plain Table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Plain Table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Plain Table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Plain Table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1 Light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1 Light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1 Light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1 Light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1 Light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1 Light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1 Light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2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2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2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2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2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2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3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3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3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3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3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3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4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4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4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4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4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4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5 Dark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5 Dark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5 Dark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5 Dark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5 Dark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5 Dark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5 Dark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6 Colorfu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6 Colorful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6 Colorful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6 Colorful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6 Colorful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6 Colorful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6 Colorful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7 Colorfu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7 Colorful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7 Colorful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7 Colorful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7 Colorful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7 Colorful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7 Colorful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1 Light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1 Light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1 Light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1 Light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1 Light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1 Light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1 Light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2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2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2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2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2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2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3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3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3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3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3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3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4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4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4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4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4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4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5 Dark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5 Dark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5 Dark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5 Dark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5 Dark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5 Dark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5 Dark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6 Colorfu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6 Colorful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6 Colorful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6 Colorful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6 Colorful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6 Colorful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6 Colorful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7 Colorfu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7 Colorful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7 Colorful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7 Colorful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7 Colorful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7 Colorful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7 Colorful - Accent 6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ned - Accent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ned - Accent 1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ned - Accent 2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ned - Accent 3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ned - Accent 4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ned - Accent 5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ned - Accent 6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Bordered &amp; Lined - Accent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Bordered &amp; Lined - Accent 1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Bordered &amp; Lined - Accent 2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Bordered &amp; Lined - Accent 3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Bordered &amp; Lined - Accent 4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&amp; Lined - Accent 5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&amp; Lined - Accent 6"/>
    <w:rPr>
      <w:color w:val="404040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- Accent 1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- Accent 2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- Accent 3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- Accent 4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- Accent 5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- Accent 6"/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824" w:customStyle="1">
    <w:name w:val="Текст сноски Знак"/>
    <w:link w:val="654"/>
    <w:semiHidden/>
    <w:rPr>
      <w:sz w:val="18"/>
      <w:lang w:bidi="ar-SA"/>
    </w:rPr>
  </w:style>
  <w:style w:type="character" w:styleId="825" w:customStyle="1">
    <w:name w:val="Текст концевой сноски Знак"/>
    <w:link w:val="657"/>
    <w:semiHidden/>
    <w:rPr>
      <w:lang w:val="ru-RU" w:bidi="ar-SA" w:eastAsia="zh-CN"/>
    </w:rPr>
  </w:style>
  <w:style w:type="paragraph" w:styleId="826" w:customStyle="1">
    <w:name w:val="ConsPlusNormal"/>
    <w:rPr>
      <w:rFonts w:ascii="Calibri" w:hAnsi="Calibri"/>
      <w:sz w:val="22"/>
      <w:szCs w:val="22"/>
      <w:lang w:eastAsia="ru-RU"/>
    </w:rPr>
    <w:pPr>
      <w:widowControl w:val="off"/>
    </w:pPr>
  </w:style>
  <w:style w:type="paragraph" w:styleId="827" w:customStyle="1">
    <w:name w:val="ConsPlusNonformat"/>
    <w:rPr>
      <w:rFonts w:ascii="Courier New" w:hAnsi="Courier New"/>
      <w:lang w:eastAsia="ru-RU"/>
    </w:rPr>
    <w:pPr>
      <w:widowControl w:val="off"/>
    </w:pPr>
  </w:style>
  <w:style w:type="paragraph" w:styleId="828" w:customStyle="1">
    <w:name w:val="ConsPlusTitle"/>
    <w:rPr>
      <w:rFonts w:ascii="Calibri" w:hAnsi="Calibri"/>
      <w:b/>
      <w:bCs/>
      <w:sz w:val="22"/>
      <w:szCs w:val="22"/>
      <w:lang w:eastAsia="ru-RU"/>
    </w:rPr>
    <w:pPr>
      <w:widowControl w:val="off"/>
    </w:pPr>
  </w:style>
  <w:style w:type="paragraph" w:styleId="829" w:customStyle="1">
    <w:name w:val="ConsPlusCell"/>
    <w:rPr>
      <w:rFonts w:ascii="Calibri" w:hAnsi="Calibri"/>
      <w:sz w:val="22"/>
      <w:szCs w:val="22"/>
      <w:lang w:eastAsia="ru-RU"/>
    </w:rPr>
    <w:pPr>
      <w:widowControl w:val="off"/>
    </w:pPr>
  </w:style>
  <w:style w:type="character" w:styleId="830">
    <w:name w:val="Strong"/>
    <w:rPr>
      <w:b/>
      <w:bCs/>
    </w:rPr>
  </w:style>
  <w:style w:type="paragraph" w:styleId="831">
    <w:name w:val="Balloon Text"/>
    <w:basedOn w:val="638"/>
    <w:semiHidden/>
    <w:rPr>
      <w:rFonts w:ascii="Tahoma" w:hAnsi="Tahoma"/>
      <w:sz w:val="16"/>
      <w:szCs w:val="16"/>
    </w:rPr>
  </w:style>
  <w:style w:type="paragraph" w:styleId="832" w:customStyle="1">
    <w:name w:val="Table Contents"/>
    <w:basedOn w:val="638"/>
    <w:rPr>
      <w:rFonts w:eastAsia="Andale Sans UI"/>
      <w:sz w:val="24"/>
      <w:szCs w:val="24"/>
      <w:lang w:val="de-DE" w:bidi="fa-IR" w:eastAsia="ja-JP"/>
    </w:rPr>
    <w:pPr>
      <w:widowControl w:val="off"/>
      <w:suppressLineNumbers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hyperlink" Target="consultantplus://offline/ref=2D2E575CF12CFFD3A29C09AE77209D35CB7AD91B94E990D084167495AA392B40D4EBE8761527A731D1K" TargetMode="External"/><Relationship Id="rId12" Type="http://schemas.openxmlformats.org/officeDocument/2006/relationships/hyperlink" Target="consultantplus://offline/ref=2D2E575CF12CFFD3A29C09AE77209D35C378D61891E6CDDA8C4F7897AD33D6K" TargetMode="External"/><Relationship Id="rId13" Type="http://schemas.openxmlformats.org/officeDocument/2006/relationships/hyperlink" Target="consultantplus://offline/ref=2D2E575CF12CFFD3A29C17A073209D35C378D61891E3CDDA8C4F7897AD33D6K" TargetMode="External"/><Relationship Id="rId14" Type="http://schemas.openxmlformats.org/officeDocument/2006/relationships/hyperlink" Target="consultantplus://offline/ref=2D2E575CF12CFFD3A29C17A073209D35C379D6129CE3CDDA8C4F7897AD367457D3A2E4771527A71932D6K" TargetMode="External"/><Relationship Id="rId15" Type="http://schemas.openxmlformats.org/officeDocument/2006/relationships/hyperlink" Target="consultantplus://offline/ref=2D2E575CF12CFFD3A29C09AD654CC739C571811696EBCE8DD81023CAFA3F7E0039D4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2024-01-18T12:18:00Z</dcterms:created>
  <dcterms:modified xsi:type="dcterms:W3CDTF">2024-01-19T10:57:39Z</dcterms:modified>
</cp:coreProperties>
</file>